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04D" w:rsidRDefault="00E538C1">
      <w:pPr>
        <w:spacing w:before="0"/>
        <w:ind w:firstLine="0"/>
        <w:jc w:val="center"/>
        <w:rPr>
          <w:sz w:val="28"/>
          <w:szCs w:val="28"/>
        </w:rPr>
      </w:pPr>
      <w:bookmarkStart w:id="0" w:name="_GoBack"/>
      <w:bookmarkEnd w:id="0"/>
      <w:r>
        <w:rPr>
          <w:sz w:val="28"/>
          <w:szCs w:val="28"/>
        </w:rPr>
        <w:t>РЕШЕНИЕ</w:t>
      </w:r>
    </w:p>
    <w:p w:rsidR="00AC504D" w:rsidRDefault="00E538C1">
      <w:pPr>
        <w:spacing w:before="0"/>
        <w:ind w:firstLine="0"/>
        <w:jc w:val="center"/>
        <w:rPr>
          <w:sz w:val="28"/>
          <w:szCs w:val="28"/>
        </w:rPr>
      </w:pPr>
      <w:r>
        <w:rPr>
          <w:sz w:val="28"/>
          <w:szCs w:val="28"/>
        </w:rPr>
        <w:t xml:space="preserve">по делу К–947/16 о нарушении </w:t>
      </w:r>
    </w:p>
    <w:p w:rsidR="00AC504D" w:rsidRDefault="00E538C1">
      <w:pPr>
        <w:spacing w:before="0"/>
        <w:ind w:firstLine="0"/>
        <w:jc w:val="center"/>
        <w:rPr>
          <w:sz w:val="28"/>
          <w:szCs w:val="28"/>
        </w:rPr>
      </w:pPr>
      <w:r>
        <w:rPr>
          <w:sz w:val="28"/>
          <w:szCs w:val="28"/>
        </w:rPr>
        <w:t xml:space="preserve">законодательства Российской Федерации </w:t>
      </w:r>
    </w:p>
    <w:p w:rsidR="00AC504D" w:rsidRDefault="00E538C1">
      <w:pPr>
        <w:spacing w:before="0"/>
        <w:ind w:firstLine="0"/>
        <w:jc w:val="center"/>
        <w:rPr>
          <w:sz w:val="28"/>
          <w:szCs w:val="28"/>
        </w:rPr>
      </w:pPr>
      <w:r>
        <w:rPr>
          <w:sz w:val="28"/>
          <w:szCs w:val="28"/>
        </w:rPr>
        <w:t>о контрактной системе в сфере закупок</w:t>
      </w:r>
    </w:p>
    <w:p w:rsidR="00AC504D" w:rsidRDefault="00E538C1">
      <w:pPr>
        <w:spacing w:before="0"/>
        <w:ind w:firstLine="0"/>
        <w:jc w:val="center"/>
        <w:rPr>
          <w:sz w:val="28"/>
          <w:szCs w:val="28"/>
        </w:rPr>
      </w:pPr>
      <w:r>
        <w:rPr>
          <w:sz w:val="28"/>
          <w:szCs w:val="28"/>
        </w:rPr>
        <w:t>20.06.2016</w:t>
      </w:r>
      <w:r>
        <w:rPr>
          <w:sz w:val="28"/>
          <w:szCs w:val="28"/>
        </w:rPr>
        <w:tab/>
        <w:t>Москва</w:t>
      </w:r>
    </w:p>
    <w:p w:rsidR="00AC504D" w:rsidRDefault="00AC504D">
      <w:pPr>
        <w:spacing w:before="0"/>
        <w:ind w:firstLine="0"/>
        <w:rPr>
          <w:sz w:val="28"/>
          <w:szCs w:val="28"/>
        </w:rPr>
      </w:pPr>
    </w:p>
    <w:p w:rsidR="00AC504D" w:rsidRDefault="00E538C1">
      <w:pPr>
        <w:spacing w:before="0"/>
        <w:ind w:firstLine="720"/>
        <w:jc w:val="both"/>
        <w:rPr>
          <w:sz w:val="28"/>
          <w:szCs w:val="28"/>
        </w:rPr>
      </w:pPr>
      <w:proofErr w:type="gramStart"/>
      <w:r>
        <w:rPr>
          <w:sz w:val="28"/>
          <w:szCs w:val="28"/>
        </w:rPr>
        <w:t>Комиссия Федеральной антимонопольной службы по контролю в сфере закупок (далее – Комиссия) рассмотрев жалобу ООО «Охранное предприятие «Цитадель» (далее – Заявитель) на действия  Управления Федеральной антимонопольной службы по Санкт-Петербургу (далее - Заказчик) при проведении  открытого конкурса на право заключения государственного контракта на охрану помещений (номер извещения 0172100005416000012) (далее – Конкурс), и в результате осуществления внеплановой проверки в соответствии с пунктом 1 части 15 статьи</w:t>
      </w:r>
      <w:proofErr w:type="gramEnd"/>
      <w:r>
        <w:rPr>
          <w:sz w:val="28"/>
          <w:szCs w:val="28"/>
        </w:rPr>
        <w:t xml:space="preserve"> </w:t>
      </w:r>
      <w:proofErr w:type="gramStart"/>
      <w:r>
        <w:rPr>
          <w:sz w:val="28"/>
          <w:szCs w:val="28"/>
        </w:rPr>
        <w:t>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r>
      <w:proofErr w:type="gramEnd"/>
      <w:r>
        <w:rPr>
          <w:sz w:val="28"/>
          <w:szCs w:val="28"/>
        </w:rPr>
        <w:t>,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AC504D" w:rsidRDefault="00AC504D">
      <w:pPr>
        <w:spacing w:before="0"/>
        <w:ind w:firstLine="720"/>
        <w:jc w:val="both"/>
        <w:rPr>
          <w:sz w:val="28"/>
          <w:szCs w:val="28"/>
        </w:rPr>
      </w:pPr>
    </w:p>
    <w:p w:rsidR="00AC504D" w:rsidRDefault="00E538C1">
      <w:pPr>
        <w:spacing w:before="0"/>
        <w:ind w:firstLine="720"/>
        <w:jc w:val="both"/>
        <w:rPr>
          <w:sz w:val="28"/>
          <w:szCs w:val="28"/>
        </w:rPr>
      </w:pPr>
      <w:r>
        <w:rPr>
          <w:sz w:val="28"/>
          <w:szCs w:val="28"/>
        </w:rPr>
        <w:t>УСТАНОВИЛА:</w:t>
      </w:r>
    </w:p>
    <w:p w:rsidR="00AC504D" w:rsidRDefault="00E538C1">
      <w:pPr>
        <w:spacing w:before="0"/>
        <w:ind w:firstLine="720"/>
        <w:jc w:val="both"/>
        <w:rPr>
          <w:sz w:val="28"/>
          <w:szCs w:val="28"/>
        </w:rPr>
      </w:pPr>
      <w:r>
        <w:rPr>
          <w:sz w:val="28"/>
          <w:szCs w:val="28"/>
        </w:rPr>
        <w:t>В Федеральную антимонопольную службу поступила жалоба Заявителя на действия Заказчика при проведении Конкурса.</w:t>
      </w:r>
    </w:p>
    <w:p w:rsidR="00AC504D" w:rsidRDefault="00E538C1">
      <w:pPr>
        <w:spacing w:before="0"/>
        <w:ind w:firstLine="720"/>
        <w:jc w:val="both"/>
        <w:rPr>
          <w:sz w:val="28"/>
          <w:szCs w:val="28"/>
        </w:rPr>
      </w:pPr>
      <w:r>
        <w:rPr>
          <w:sz w:val="28"/>
          <w:szCs w:val="28"/>
        </w:rPr>
        <w:t>По мнению Заявителя, его права и законные интересы нарушены действиями Заказчика, не установившего надлежащий порядок рассмотрения и оценки заявок на участие в Конкурсе, а именно:</w:t>
      </w:r>
    </w:p>
    <w:p w:rsidR="00AC504D" w:rsidRDefault="00E538C1">
      <w:pPr>
        <w:spacing w:before="0"/>
        <w:ind w:firstLine="720"/>
        <w:jc w:val="both"/>
        <w:rPr>
          <w:sz w:val="28"/>
          <w:szCs w:val="28"/>
        </w:rPr>
      </w:pPr>
      <w:r>
        <w:rPr>
          <w:sz w:val="28"/>
          <w:szCs w:val="28"/>
        </w:rPr>
        <w:t>1)</w:t>
      </w:r>
      <w:r>
        <w:rPr>
          <w:sz w:val="28"/>
          <w:szCs w:val="28"/>
        </w:rPr>
        <w:tab/>
        <w:t xml:space="preserve">По показателю «Деловая репутация участника конкурса» критерия «Квалификация участников </w:t>
      </w:r>
      <w:proofErr w:type="gramStart"/>
      <w:r>
        <w:rPr>
          <w:sz w:val="28"/>
          <w:szCs w:val="28"/>
        </w:rPr>
        <w:t>закупки</w:t>
      </w:r>
      <w:proofErr w:type="gramEnd"/>
      <w:r>
        <w:rPr>
          <w:sz w:val="28"/>
          <w:szCs w:val="28"/>
        </w:rPr>
        <w:t xml:space="preserve">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 оценке подлежат положительные отзывы исключительно от государственных или муниципальных учреждений, без учета положительных отзывов от коммерческих </w:t>
      </w:r>
      <w:r>
        <w:rPr>
          <w:sz w:val="28"/>
          <w:szCs w:val="28"/>
        </w:rPr>
        <w:lastRenderedPageBreak/>
        <w:t>организаций.</w:t>
      </w:r>
    </w:p>
    <w:p w:rsidR="00AC504D" w:rsidRDefault="00E538C1">
      <w:pPr>
        <w:spacing w:before="0"/>
        <w:ind w:firstLine="720"/>
        <w:jc w:val="both"/>
        <w:rPr>
          <w:sz w:val="28"/>
          <w:szCs w:val="28"/>
        </w:rPr>
      </w:pPr>
      <w:r>
        <w:rPr>
          <w:sz w:val="28"/>
          <w:szCs w:val="28"/>
        </w:rPr>
        <w:t>2)</w:t>
      </w:r>
      <w:r>
        <w:rPr>
          <w:sz w:val="28"/>
          <w:szCs w:val="28"/>
        </w:rPr>
        <w:tab/>
        <w:t>По критерию «Качественные, функциональные и экологические характеристики объекта закупки» Заказчиком не установлен порядок оценки заявок, вместе с тем, по вышеуказанному критерию установлено ненадлежащее положение о налич</w:t>
      </w:r>
      <w:proofErr w:type="gramStart"/>
      <w:r>
        <w:rPr>
          <w:sz w:val="28"/>
          <w:szCs w:val="28"/>
        </w:rPr>
        <w:t>ии у у</w:t>
      </w:r>
      <w:proofErr w:type="gramEnd"/>
      <w:r>
        <w:rPr>
          <w:sz w:val="28"/>
          <w:szCs w:val="28"/>
        </w:rPr>
        <w:t>частника закупки свидетельства, выданного саморегулируемой организацией в сфере частной охранной деятельности.</w:t>
      </w:r>
    </w:p>
    <w:p w:rsidR="00AC504D" w:rsidRDefault="00E538C1">
      <w:pPr>
        <w:spacing w:before="0"/>
        <w:ind w:firstLine="720"/>
        <w:jc w:val="both"/>
        <w:rPr>
          <w:sz w:val="28"/>
          <w:szCs w:val="28"/>
        </w:rPr>
      </w:pPr>
      <w:r>
        <w:rPr>
          <w:sz w:val="28"/>
          <w:szCs w:val="28"/>
        </w:rPr>
        <w:t>3)</w:t>
      </w:r>
      <w:r>
        <w:rPr>
          <w:sz w:val="28"/>
          <w:szCs w:val="28"/>
        </w:rPr>
        <w:tab/>
        <w:t xml:space="preserve">По показателю «Опыт участника по успешной поставке товара, выполнению работ, оказанию услуг сопоставимого характера и объема» критерия «Квалификация участников </w:t>
      </w:r>
      <w:proofErr w:type="gramStart"/>
      <w:r>
        <w:rPr>
          <w:sz w:val="28"/>
          <w:szCs w:val="28"/>
        </w:rPr>
        <w:t>закупки</w:t>
      </w:r>
      <w:proofErr w:type="gramEnd"/>
      <w:r>
        <w:rPr>
          <w:sz w:val="28"/>
          <w:szCs w:val="28"/>
        </w:rPr>
        <w:t xml:space="preserve">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 установлен противоречивый порядок оценки заявок.</w:t>
      </w:r>
    </w:p>
    <w:p w:rsidR="00AC504D" w:rsidRDefault="00E538C1">
      <w:pPr>
        <w:spacing w:before="0"/>
        <w:ind w:firstLine="720"/>
        <w:jc w:val="both"/>
        <w:rPr>
          <w:sz w:val="28"/>
          <w:szCs w:val="28"/>
        </w:rPr>
      </w:pPr>
      <w:r>
        <w:rPr>
          <w:sz w:val="28"/>
          <w:szCs w:val="28"/>
        </w:rPr>
        <w:t>Представитель Заказчика не согласился с доводами Заявителя и сообщил, что при проведении Конкурса Заказчик действовал в соответствии с Законом о контрактной системе.</w:t>
      </w:r>
    </w:p>
    <w:p w:rsidR="00AC504D" w:rsidRDefault="00E538C1">
      <w:pPr>
        <w:spacing w:before="0"/>
        <w:ind w:firstLine="720"/>
        <w:jc w:val="both"/>
        <w:rPr>
          <w:sz w:val="28"/>
          <w:szCs w:val="28"/>
        </w:rPr>
      </w:pPr>
      <w:r>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AC504D" w:rsidRDefault="00E538C1">
      <w:pPr>
        <w:spacing w:before="0"/>
        <w:ind w:firstLine="720"/>
        <w:jc w:val="both"/>
        <w:rPr>
          <w:sz w:val="28"/>
          <w:szCs w:val="28"/>
        </w:rPr>
      </w:pPr>
      <w:r>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AC504D" w:rsidRDefault="00E538C1">
      <w:pPr>
        <w:spacing w:before="0"/>
        <w:ind w:firstLine="720"/>
        <w:jc w:val="both"/>
        <w:rPr>
          <w:sz w:val="28"/>
          <w:szCs w:val="28"/>
        </w:rPr>
      </w:pPr>
      <w:r>
        <w:rPr>
          <w:sz w:val="28"/>
          <w:szCs w:val="28"/>
        </w:rPr>
        <w:t>1)</w:t>
      </w:r>
      <w:r>
        <w:rPr>
          <w:sz w:val="28"/>
          <w:szCs w:val="28"/>
        </w:rPr>
        <w:tab/>
        <w:t>извещение об осуществлении закупки размещено в единой информационной системе – 29.04.2016;</w:t>
      </w:r>
    </w:p>
    <w:p w:rsidR="00AC504D" w:rsidRDefault="00E538C1">
      <w:pPr>
        <w:spacing w:before="0"/>
        <w:ind w:firstLine="720"/>
        <w:jc w:val="both"/>
        <w:rPr>
          <w:sz w:val="28"/>
          <w:szCs w:val="28"/>
        </w:rPr>
      </w:pPr>
      <w:r>
        <w:rPr>
          <w:sz w:val="28"/>
          <w:szCs w:val="28"/>
        </w:rPr>
        <w:t>2)</w:t>
      </w:r>
      <w:r>
        <w:rPr>
          <w:sz w:val="28"/>
          <w:szCs w:val="28"/>
        </w:rPr>
        <w:tab/>
        <w:t>способ определения поставщика (подрядчика, исполнителя) – Конкурс;</w:t>
      </w:r>
    </w:p>
    <w:p w:rsidR="00AC504D" w:rsidRDefault="00E538C1">
      <w:pPr>
        <w:spacing w:before="0"/>
        <w:ind w:firstLine="720"/>
        <w:jc w:val="both"/>
        <w:rPr>
          <w:sz w:val="28"/>
          <w:szCs w:val="28"/>
        </w:rPr>
      </w:pPr>
      <w:r>
        <w:rPr>
          <w:sz w:val="28"/>
          <w:szCs w:val="28"/>
        </w:rPr>
        <w:t>3)</w:t>
      </w:r>
      <w:r>
        <w:rPr>
          <w:sz w:val="28"/>
          <w:szCs w:val="28"/>
        </w:rPr>
        <w:tab/>
        <w:t>начальная (максимальная) цена контракта – 728 000 рублей;</w:t>
      </w:r>
    </w:p>
    <w:p w:rsidR="00AC504D" w:rsidRDefault="00E538C1">
      <w:pPr>
        <w:spacing w:before="0"/>
        <w:ind w:firstLine="720"/>
        <w:jc w:val="both"/>
        <w:rPr>
          <w:sz w:val="28"/>
          <w:szCs w:val="28"/>
        </w:rPr>
      </w:pPr>
      <w:r>
        <w:rPr>
          <w:sz w:val="28"/>
          <w:szCs w:val="28"/>
        </w:rPr>
        <w:t>4)</w:t>
      </w:r>
      <w:r>
        <w:rPr>
          <w:sz w:val="28"/>
          <w:szCs w:val="28"/>
        </w:rPr>
        <w:tab/>
        <w:t>дата окончания подачи заявок на участие в Конкурсе - 29.06.2016.</w:t>
      </w:r>
    </w:p>
    <w:p w:rsidR="00AC504D" w:rsidRDefault="00E538C1">
      <w:pPr>
        <w:spacing w:before="0"/>
        <w:ind w:firstLine="720"/>
        <w:jc w:val="both"/>
        <w:rPr>
          <w:sz w:val="28"/>
          <w:szCs w:val="28"/>
        </w:rPr>
      </w:pPr>
      <w:proofErr w:type="gramStart"/>
      <w:r>
        <w:rPr>
          <w:sz w:val="28"/>
          <w:szCs w:val="28"/>
        </w:rPr>
        <w:t>Согласно пункту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roofErr w:type="gramEnd"/>
    </w:p>
    <w:p w:rsidR="00AC504D" w:rsidRDefault="00E538C1">
      <w:pPr>
        <w:spacing w:before="0"/>
        <w:ind w:firstLine="720"/>
        <w:jc w:val="both"/>
        <w:rPr>
          <w:sz w:val="28"/>
          <w:szCs w:val="28"/>
        </w:rPr>
      </w:pPr>
      <w:r>
        <w:rPr>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AC504D" w:rsidRDefault="00E538C1">
      <w:pPr>
        <w:spacing w:before="0"/>
        <w:ind w:firstLine="720"/>
        <w:jc w:val="both"/>
        <w:rPr>
          <w:sz w:val="28"/>
          <w:szCs w:val="28"/>
        </w:rPr>
      </w:pPr>
      <w:r>
        <w:rPr>
          <w:sz w:val="28"/>
          <w:szCs w:val="28"/>
        </w:rPr>
        <w:t xml:space="preserve">Согласно части 7 статьи 53 Закона о контрактной системе на основании </w:t>
      </w:r>
      <w:r>
        <w:rPr>
          <w:sz w:val="28"/>
          <w:szCs w:val="28"/>
        </w:rPr>
        <w:lastRenderedPageBreak/>
        <w:t xml:space="preserve">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AC504D" w:rsidRDefault="00E538C1">
      <w:pPr>
        <w:spacing w:before="0"/>
        <w:ind w:firstLine="720"/>
        <w:jc w:val="both"/>
        <w:rPr>
          <w:sz w:val="28"/>
          <w:szCs w:val="28"/>
        </w:rPr>
      </w:pPr>
      <w:r>
        <w:rPr>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C504D" w:rsidRDefault="00E538C1">
      <w:pPr>
        <w:spacing w:before="0"/>
        <w:ind w:firstLine="720"/>
        <w:jc w:val="both"/>
        <w:rPr>
          <w:sz w:val="28"/>
          <w:szCs w:val="28"/>
        </w:rPr>
      </w:pPr>
      <w:proofErr w:type="gramStart"/>
      <w:r>
        <w:rPr>
          <w:sz w:val="28"/>
          <w:szCs w:val="28"/>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roofErr w:type="gramEnd"/>
    </w:p>
    <w:p w:rsidR="00AC504D" w:rsidRDefault="00E538C1">
      <w:pPr>
        <w:spacing w:before="0"/>
        <w:ind w:firstLine="720"/>
        <w:jc w:val="both"/>
        <w:rPr>
          <w:sz w:val="28"/>
          <w:szCs w:val="28"/>
        </w:rPr>
      </w:pPr>
      <w:r>
        <w:rPr>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AC504D" w:rsidRDefault="00E538C1">
      <w:pPr>
        <w:spacing w:before="0"/>
        <w:ind w:firstLine="720"/>
        <w:jc w:val="both"/>
        <w:rPr>
          <w:sz w:val="28"/>
          <w:szCs w:val="28"/>
        </w:rPr>
      </w:pPr>
      <w:r>
        <w:rPr>
          <w:sz w:val="28"/>
          <w:szCs w:val="28"/>
        </w:rPr>
        <w:t xml:space="preserve">Пунктом 11 Правил установлено, что для оценки заявок (предложений) по каждому критерию оценки используется 100-балльная шкала оценки. </w:t>
      </w:r>
      <w:proofErr w:type="gramStart"/>
      <w:r>
        <w:rPr>
          <w:sz w:val="28"/>
          <w:szCs w:val="28"/>
        </w:rPr>
        <w:t>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p>
    <w:p w:rsidR="00AC504D" w:rsidRDefault="00E538C1">
      <w:pPr>
        <w:spacing w:before="0"/>
        <w:ind w:firstLine="720"/>
        <w:jc w:val="both"/>
        <w:rPr>
          <w:sz w:val="28"/>
          <w:szCs w:val="28"/>
        </w:rPr>
      </w:pPr>
      <w:r>
        <w:rPr>
          <w:sz w:val="28"/>
          <w:szCs w:val="28"/>
        </w:rPr>
        <w:t>В соответствии с частью 2 статьи 53 Закона о контрактной системе Конкурсная комиссия проверяет заявку на участие в конкурсе в том числе, на соответствие требованиям Закона о контрактной системе, извещению об осуществлении закупки и конкурсной документации.</w:t>
      </w:r>
    </w:p>
    <w:p w:rsidR="00AC504D" w:rsidRDefault="00E538C1">
      <w:pPr>
        <w:spacing w:before="0"/>
        <w:ind w:firstLine="720"/>
        <w:jc w:val="both"/>
        <w:rPr>
          <w:sz w:val="28"/>
          <w:szCs w:val="28"/>
        </w:rPr>
      </w:pPr>
      <w:r>
        <w:rPr>
          <w:sz w:val="28"/>
          <w:szCs w:val="28"/>
        </w:rPr>
        <w:t>В Конкурсной документации установлены следующие критерии оценки заявок на участие в Конкурсе:</w:t>
      </w:r>
    </w:p>
    <w:p w:rsidR="00AC504D" w:rsidRDefault="00E538C1">
      <w:pPr>
        <w:spacing w:before="0"/>
        <w:ind w:firstLine="720"/>
        <w:jc w:val="both"/>
        <w:rPr>
          <w:sz w:val="28"/>
          <w:szCs w:val="28"/>
        </w:rPr>
      </w:pPr>
      <w:r>
        <w:rPr>
          <w:sz w:val="28"/>
          <w:szCs w:val="28"/>
        </w:rPr>
        <w:lastRenderedPageBreak/>
        <w:t>1)</w:t>
      </w:r>
      <w:r>
        <w:rPr>
          <w:sz w:val="28"/>
          <w:szCs w:val="28"/>
        </w:rPr>
        <w:tab/>
        <w:t>Цена контракта – значимость критерия: 60 % (далее – Критерий № 1).</w:t>
      </w:r>
    </w:p>
    <w:p w:rsidR="00AC504D" w:rsidRDefault="00E538C1">
      <w:pPr>
        <w:spacing w:before="0"/>
        <w:ind w:firstLine="720"/>
        <w:jc w:val="both"/>
        <w:rPr>
          <w:sz w:val="28"/>
          <w:szCs w:val="28"/>
        </w:rPr>
      </w:pPr>
      <w:r>
        <w:rPr>
          <w:sz w:val="28"/>
          <w:szCs w:val="28"/>
        </w:rPr>
        <w:t>2)</w:t>
      </w:r>
      <w:r>
        <w:rPr>
          <w:sz w:val="28"/>
          <w:szCs w:val="28"/>
        </w:rPr>
        <w:tab/>
        <w:t xml:space="preserve">Квалификация участников </w:t>
      </w:r>
      <w:proofErr w:type="gramStart"/>
      <w:r>
        <w:rPr>
          <w:sz w:val="28"/>
          <w:szCs w:val="28"/>
        </w:rPr>
        <w:t>закупки</w:t>
      </w:r>
      <w:proofErr w:type="gramEnd"/>
      <w:r>
        <w:rPr>
          <w:sz w:val="28"/>
          <w:szCs w:val="28"/>
        </w:rPr>
        <w:t xml:space="preserve">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 – значимость критерия 40 % (далее – Критерий № 2).</w:t>
      </w:r>
    </w:p>
    <w:p w:rsidR="00AC504D" w:rsidRDefault="00E538C1">
      <w:pPr>
        <w:spacing w:before="0"/>
        <w:ind w:firstLine="720"/>
        <w:jc w:val="both"/>
        <w:rPr>
          <w:sz w:val="28"/>
          <w:szCs w:val="28"/>
        </w:rPr>
      </w:pPr>
      <w:r>
        <w:rPr>
          <w:sz w:val="28"/>
          <w:szCs w:val="28"/>
        </w:rPr>
        <w:t>1.</w:t>
      </w:r>
      <w:r>
        <w:rPr>
          <w:sz w:val="28"/>
          <w:szCs w:val="28"/>
        </w:rPr>
        <w:tab/>
        <w:t>Согласно доводу жалобы Заявителя по показателю «Деловая репутация участника конкурса» Критерия № 2 оценке подлежат положительные отзывы исключительно от государственных или муниципальных учреждений, без учета положительных отзывов от коммерческих организаций.</w:t>
      </w:r>
    </w:p>
    <w:p w:rsidR="00AC504D" w:rsidRDefault="00E538C1">
      <w:pPr>
        <w:spacing w:before="0"/>
        <w:ind w:firstLine="720"/>
        <w:jc w:val="both"/>
        <w:rPr>
          <w:sz w:val="28"/>
          <w:szCs w:val="28"/>
        </w:rPr>
      </w:pPr>
      <w:r>
        <w:rPr>
          <w:sz w:val="28"/>
          <w:szCs w:val="28"/>
        </w:rPr>
        <w:t>На заседании Комиссии установлено, что показателю «Деловая репутация участника конкурса» Критерия № 2 установлен, в том числе, следующий порядок оценки: «В рамках показателя «Деловая репутация участника конкурса: наличие у участника конкурса положительных отзывов за надлежащее исполнение контрактов, договоров на оказание услуг по охране» оценивается количество полученных положительных отзывов от государственных или муниципальных учреждений за надлежаще исполненный контракт (договор) на оказание услуг по физической охране помещений за период 2012 – 2015 годов. Сведения, указанные в форме «Квалификация участника конкурса», должны подтверждаться копиями отзывов от государственных или муниципальных учреждений за надлежащее исполнение государственного контракта  (договора) на оказание услуг по охране помещений за период 2012 – 2015 годов».</w:t>
      </w:r>
    </w:p>
    <w:p w:rsidR="00AC504D" w:rsidRDefault="00E538C1">
      <w:pPr>
        <w:spacing w:before="0"/>
        <w:ind w:firstLine="720"/>
        <w:jc w:val="both"/>
        <w:rPr>
          <w:sz w:val="28"/>
          <w:szCs w:val="28"/>
        </w:rPr>
      </w:pPr>
      <w:r>
        <w:rPr>
          <w:sz w:val="28"/>
          <w:szCs w:val="28"/>
        </w:rPr>
        <w:t xml:space="preserve">На заседании Комиссии представители Заказчика пояснили, что Правилами, а также Законом о контрактной системе не предусмотрено, установление обязательного условия об оценке положительных отзывов от коммерческих организаций по критерию «Квалификация участников </w:t>
      </w:r>
      <w:proofErr w:type="gramStart"/>
      <w:r>
        <w:rPr>
          <w:sz w:val="28"/>
          <w:szCs w:val="28"/>
        </w:rPr>
        <w:t>закупки</w:t>
      </w:r>
      <w:proofErr w:type="gramEnd"/>
      <w:r>
        <w:rPr>
          <w:sz w:val="28"/>
          <w:szCs w:val="28"/>
        </w:rPr>
        <w:t xml:space="preserve">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w:t>
      </w:r>
    </w:p>
    <w:p w:rsidR="00AC504D" w:rsidRDefault="00E538C1">
      <w:pPr>
        <w:spacing w:before="0"/>
        <w:ind w:firstLine="720"/>
        <w:jc w:val="both"/>
        <w:rPr>
          <w:sz w:val="28"/>
          <w:szCs w:val="28"/>
        </w:rPr>
      </w:pPr>
      <w:r>
        <w:rPr>
          <w:sz w:val="28"/>
          <w:szCs w:val="28"/>
        </w:rPr>
        <w:t>Вместе с тем, Заявитель на заседание Комиссии не явился, и не представил надлежащих доказательств подтверждающих обоснованность указанного довода, в связи с чем, Комиссия приходит к выводу, что довод Заявителя не нашел своего подтверждения.</w:t>
      </w:r>
    </w:p>
    <w:p w:rsidR="00AC504D" w:rsidRDefault="00E538C1">
      <w:pPr>
        <w:spacing w:before="0"/>
        <w:ind w:firstLine="720"/>
        <w:jc w:val="both"/>
        <w:rPr>
          <w:sz w:val="28"/>
          <w:szCs w:val="28"/>
        </w:rPr>
      </w:pPr>
      <w:r>
        <w:rPr>
          <w:sz w:val="28"/>
          <w:szCs w:val="28"/>
        </w:rPr>
        <w:t xml:space="preserve">Кроме того, на заседании Комиссии установлено, что оценке подлежат положительные отзывы от государственных или муниципальных </w:t>
      </w:r>
      <w:r>
        <w:rPr>
          <w:sz w:val="28"/>
          <w:szCs w:val="28"/>
        </w:rPr>
        <w:lastRenderedPageBreak/>
        <w:t xml:space="preserve">учреждений, вместе с тем, учреждение является одним из заказчиков, предусмотренных пунктом 7 статьи 3 Закона о контрактной системе, однако УФАС России по Санкт-Петербургу является органом исполнительной власти. </w:t>
      </w:r>
    </w:p>
    <w:p w:rsidR="00AC504D" w:rsidRDefault="00E538C1">
      <w:pPr>
        <w:spacing w:before="0"/>
        <w:ind w:firstLine="720"/>
        <w:jc w:val="both"/>
        <w:rPr>
          <w:sz w:val="28"/>
          <w:szCs w:val="28"/>
        </w:rPr>
      </w:pPr>
      <w:r>
        <w:rPr>
          <w:sz w:val="28"/>
          <w:szCs w:val="28"/>
        </w:rPr>
        <w:t xml:space="preserve">Вместе с тем, на заседании Комиссии представитель Заказчика пояснил, что оценке подлежат положительные отзывы от любых </w:t>
      </w:r>
      <w:proofErr w:type="gramStart"/>
      <w:r>
        <w:rPr>
          <w:sz w:val="28"/>
          <w:szCs w:val="28"/>
        </w:rPr>
        <w:t>заказчиков</w:t>
      </w:r>
      <w:proofErr w:type="gramEnd"/>
      <w:r>
        <w:rPr>
          <w:sz w:val="28"/>
          <w:szCs w:val="28"/>
        </w:rPr>
        <w:t xml:space="preserve"> предусмотренных Законом о контрактной системе.</w:t>
      </w:r>
    </w:p>
    <w:p w:rsidR="00AC504D" w:rsidRDefault="00E538C1">
      <w:pPr>
        <w:spacing w:before="0"/>
        <w:ind w:firstLine="720"/>
        <w:jc w:val="both"/>
        <w:rPr>
          <w:sz w:val="28"/>
          <w:szCs w:val="28"/>
        </w:rPr>
      </w:pPr>
      <w:r>
        <w:rPr>
          <w:sz w:val="28"/>
          <w:szCs w:val="28"/>
        </w:rPr>
        <w:t>Комиссия приходит к выводу, что порядок оценки заявок, установленный Заказчиком в Конкурсной документации по показателю «Деловая репутация участника конкурса» Критерия № 2, не позволяет выявить лучшие условия исполнения контракта, поскольку оценке подлежат положительные отзывы исключительно учреждений, которые являются одним из заказчиков в соответствии с Законом о контрактной системе.</w:t>
      </w:r>
    </w:p>
    <w:p w:rsidR="00AC504D" w:rsidRDefault="00E538C1">
      <w:pPr>
        <w:spacing w:before="0"/>
        <w:ind w:firstLine="720"/>
        <w:jc w:val="both"/>
        <w:rPr>
          <w:sz w:val="28"/>
          <w:szCs w:val="28"/>
        </w:rPr>
      </w:pPr>
      <w:r>
        <w:rPr>
          <w:sz w:val="28"/>
          <w:szCs w:val="28"/>
        </w:rPr>
        <w:t>2.</w:t>
      </w:r>
      <w:r>
        <w:rPr>
          <w:sz w:val="28"/>
          <w:szCs w:val="28"/>
        </w:rPr>
        <w:tab/>
        <w:t>Согласно доводу жалобы Заявителя, Заказчиком по критерию «Качественные, функциональные и экологические характеристики объекта закупки» не установлен порядок оценки заявок, вместе с тем, по вышеуказанному критерию установлено положение о налич</w:t>
      </w:r>
      <w:proofErr w:type="gramStart"/>
      <w:r>
        <w:rPr>
          <w:sz w:val="28"/>
          <w:szCs w:val="28"/>
        </w:rPr>
        <w:t>ии у у</w:t>
      </w:r>
      <w:proofErr w:type="gramEnd"/>
      <w:r>
        <w:rPr>
          <w:sz w:val="28"/>
          <w:szCs w:val="28"/>
        </w:rPr>
        <w:t>частника закупки свидетельства, выданного саморегулируемой организацией в сфере частной охранной деятельности, не предусмотренное Законом о контрактной системе.</w:t>
      </w:r>
    </w:p>
    <w:p w:rsidR="00AC504D" w:rsidRDefault="00E538C1">
      <w:pPr>
        <w:spacing w:before="0"/>
        <w:ind w:firstLine="720"/>
        <w:jc w:val="both"/>
        <w:rPr>
          <w:sz w:val="28"/>
          <w:szCs w:val="28"/>
        </w:rPr>
      </w:pPr>
      <w:r>
        <w:rPr>
          <w:sz w:val="28"/>
          <w:szCs w:val="28"/>
        </w:rPr>
        <w:t xml:space="preserve">На заседании Комиссии представитель Заказчика пояснил, что Заказчиком была допущена техническая ошибка, вместе с тем, Заказчиком 15.06.2016 в Конкурсную документацию внесены изменения, при этом, в Конкурсной документации редакции от 15.06.2016 критерий «Качественные, функциональные и экологические характеристики объекта закупки», а также положение о наличии у участника закупки </w:t>
      </w:r>
      <w:proofErr w:type="gramStart"/>
      <w:r>
        <w:rPr>
          <w:sz w:val="28"/>
          <w:szCs w:val="28"/>
        </w:rPr>
        <w:t>свидетельства</w:t>
      </w:r>
      <w:proofErr w:type="gramEnd"/>
      <w:r>
        <w:rPr>
          <w:sz w:val="28"/>
          <w:szCs w:val="28"/>
        </w:rPr>
        <w:t xml:space="preserve"> выданного саморегулируемой организацией в сфере частной охранной деятельности (далее - свидетельства СРО), отсутствует.</w:t>
      </w:r>
    </w:p>
    <w:p w:rsidR="00AC504D" w:rsidRDefault="00E538C1">
      <w:pPr>
        <w:spacing w:before="0"/>
        <w:ind w:firstLine="720"/>
        <w:jc w:val="both"/>
        <w:rPr>
          <w:sz w:val="28"/>
          <w:szCs w:val="28"/>
        </w:rPr>
      </w:pPr>
      <w:proofErr w:type="gramStart"/>
      <w:r>
        <w:rPr>
          <w:sz w:val="28"/>
          <w:szCs w:val="28"/>
        </w:rPr>
        <w:t>Вместе с тем, по мнению Комиссии, при отсутствии норм законодательства об обязательном членстве организации в СРО предоставление участником закупки свидетельства СРО в составе заявки на участие в Конкурсе не указывает на более высокий уровень квалификации такого участника закупки, а также не свидетельствует о том, что таким участником закупки предлагается лучшее условие исполнения контракта.</w:t>
      </w:r>
      <w:proofErr w:type="gramEnd"/>
    </w:p>
    <w:p w:rsidR="00AC504D" w:rsidRDefault="00E538C1">
      <w:pPr>
        <w:spacing w:before="0"/>
        <w:ind w:firstLine="720"/>
        <w:jc w:val="both"/>
        <w:rPr>
          <w:sz w:val="28"/>
          <w:szCs w:val="28"/>
        </w:rPr>
      </w:pPr>
      <w:r>
        <w:rPr>
          <w:sz w:val="28"/>
          <w:szCs w:val="28"/>
        </w:rPr>
        <w:t>3.</w:t>
      </w:r>
      <w:r>
        <w:rPr>
          <w:sz w:val="28"/>
          <w:szCs w:val="28"/>
        </w:rPr>
        <w:tab/>
        <w:t>Согласно доводу жалобы Заявителя, Заказчиком по показателю «Опыт участника по успешной поставке товара, выполнению работ, оказанию услуг сопоставимого характера и объема» Критерия № 2 установлен противоречивый порядок оценки заявок.</w:t>
      </w:r>
    </w:p>
    <w:p w:rsidR="00AC504D" w:rsidRDefault="00E538C1">
      <w:pPr>
        <w:spacing w:before="0"/>
        <w:ind w:firstLine="720"/>
        <w:jc w:val="both"/>
        <w:rPr>
          <w:sz w:val="28"/>
          <w:szCs w:val="28"/>
        </w:rPr>
      </w:pPr>
      <w:r>
        <w:rPr>
          <w:sz w:val="28"/>
          <w:szCs w:val="28"/>
        </w:rPr>
        <w:t xml:space="preserve">На заседании Комиссии установлено, что Заказчиком, по показателю «Опыт участника по успешной поставке товара, выполнению работ, оказанию услуг сопоставимого характера и объема» Критерия № 2 установлен, в том числе, следующий порядок оценки заявок: «В рамках </w:t>
      </w:r>
      <w:r>
        <w:rPr>
          <w:sz w:val="28"/>
          <w:szCs w:val="28"/>
        </w:rPr>
        <w:lastRenderedPageBreak/>
        <w:t xml:space="preserve">показателя «Опыт участника по успешной поставке товара, выполнению работ, оказанию услуг сопоставимого характера и объема: наличие у участника конкурса опыта оказания охранных услуг», оценивается продолжительность работы предприятия участника в сфере оказания охранных услуг в годах.  Срок продолжительности работы предприятия участника в сфере оказания охранных услуг считается </w:t>
      </w:r>
      <w:proofErr w:type="gramStart"/>
      <w:r>
        <w:rPr>
          <w:sz w:val="28"/>
          <w:szCs w:val="28"/>
        </w:rPr>
        <w:t>с даты выдачи предприятию участника первой лицензии в сфере оказания охранных услуг по дату подачи заявки на участие в настоящем конкурсе</w:t>
      </w:r>
      <w:proofErr w:type="gramEnd"/>
      <w:r>
        <w:rPr>
          <w:sz w:val="28"/>
          <w:szCs w:val="28"/>
        </w:rPr>
        <w:t xml:space="preserve">. Причем из общего срока продолжительности работы предприятия участника в сфере оказания охранных услуг исключается </w:t>
      </w:r>
      <w:proofErr w:type="gramStart"/>
      <w:r>
        <w:rPr>
          <w:sz w:val="28"/>
          <w:szCs w:val="28"/>
        </w:rPr>
        <w:t>период</w:t>
      </w:r>
      <w:proofErr w:type="gramEnd"/>
      <w:r>
        <w:rPr>
          <w:sz w:val="28"/>
          <w:szCs w:val="28"/>
        </w:rPr>
        <w:t xml:space="preserve"> когда у предприятия отсутствовала лицензия на оказание охранных услуг.</w:t>
      </w:r>
    </w:p>
    <w:p w:rsidR="00AC504D" w:rsidRDefault="00E538C1">
      <w:pPr>
        <w:spacing w:before="0"/>
        <w:ind w:firstLine="720"/>
        <w:jc w:val="both"/>
        <w:rPr>
          <w:sz w:val="28"/>
          <w:szCs w:val="28"/>
        </w:rPr>
      </w:pPr>
      <w:r>
        <w:rPr>
          <w:sz w:val="28"/>
          <w:szCs w:val="28"/>
        </w:rPr>
        <w:t>Для определения рейтинга заявки по критерию оценки «квалификация участника закупки» устанавливается перечень следующих показателей по данному критерию:</w:t>
      </w:r>
    </w:p>
    <w:p w:rsidR="00AC504D" w:rsidRDefault="00E538C1">
      <w:pPr>
        <w:spacing w:before="0"/>
        <w:ind w:firstLine="720"/>
        <w:jc w:val="both"/>
        <w:rPr>
          <w:sz w:val="28"/>
          <w:szCs w:val="28"/>
        </w:rPr>
      </w:pPr>
      <w:r>
        <w:rPr>
          <w:sz w:val="28"/>
          <w:szCs w:val="28"/>
        </w:rPr>
        <w:t>№</w:t>
      </w:r>
      <w:proofErr w:type="gramStart"/>
      <w:r>
        <w:rPr>
          <w:sz w:val="28"/>
          <w:szCs w:val="28"/>
        </w:rPr>
        <w:t>п</w:t>
      </w:r>
      <w:proofErr w:type="gramEnd"/>
      <w:r>
        <w:rPr>
          <w:sz w:val="28"/>
          <w:szCs w:val="28"/>
        </w:rPr>
        <w:t>/п</w:t>
      </w:r>
      <w:r>
        <w:rPr>
          <w:sz w:val="28"/>
          <w:szCs w:val="28"/>
        </w:rPr>
        <w:tab/>
        <w:t>Показатели по критерию «Квалификация участника закупки»</w:t>
      </w:r>
      <w:r>
        <w:rPr>
          <w:sz w:val="28"/>
          <w:szCs w:val="28"/>
        </w:rPr>
        <w:tab/>
        <w:t>Количество баллов, присваиваемых по каждому из показателей указанного критерия</w:t>
      </w:r>
      <w:r>
        <w:rPr>
          <w:sz w:val="28"/>
          <w:szCs w:val="28"/>
        </w:rPr>
        <w:tab/>
        <w:t>Значимость показателя критерия</w:t>
      </w:r>
    </w:p>
    <w:p w:rsidR="00AC504D" w:rsidRDefault="00E538C1">
      <w:pPr>
        <w:spacing w:before="0"/>
        <w:ind w:firstLine="720"/>
        <w:jc w:val="both"/>
        <w:rPr>
          <w:sz w:val="28"/>
          <w:szCs w:val="28"/>
        </w:rPr>
      </w:pPr>
      <w:r>
        <w:rPr>
          <w:sz w:val="28"/>
          <w:szCs w:val="28"/>
        </w:rPr>
        <w:t>1</w:t>
      </w:r>
      <w:r>
        <w:rPr>
          <w:sz w:val="28"/>
          <w:szCs w:val="28"/>
        </w:rPr>
        <w:tab/>
        <w:t>Опыт участника закупки по успешному оказанию услуг сопоставимого характера и объема</w:t>
      </w:r>
      <w:r>
        <w:rPr>
          <w:sz w:val="28"/>
          <w:szCs w:val="28"/>
        </w:rPr>
        <w:tab/>
        <w:t>от 0 до 50 баллов</w:t>
      </w:r>
      <w:r>
        <w:rPr>
          <w:sz w:val="28"/>
          <w:szCs w:val="28"/>
        </w:rPr>
        <w:tab/>
        <w:t>80%</w:t>
      </w:r>
    </w:p>
    <w:p w:rsidR="00AC504D" w:rsidRDefault="00E538C1">
      <w:pPr>
        <w:spacing w:before="0"/>
        <w:ind w:firstLine="720"/>
        <w:jc w:val="both"/>
        <w:rPr>
          <w:sz w:val="28"/>
          <w:szCs w:val="28"/>
        </w:rPr>
      </w:pPr>
      <w:r>
        <w:rPr>
          <w:sz w:val="28"/>
          <w:szCs w:val="28"/>
        </w:rPr>
        <w:tab/>
        <w:t>менее 5-и лет</w:t>
      </w:r>
      <w:r>
        <w:rPr>
          <w:sz w:val="28"/>
          <w:szCs w:val="28"/>
        </w:rPr>
        <w:tab/>
        <w:t>0 баллов</w:t>
      </w:r>
    </w:p>
    <w:p w:rsidR="00AC504D" w:rsidRDefault="00E538C1">
      <w:pPr>
        <w:spacing w:before="0"/>
        <w:ind w:firstLine="720"/>
        <w:jc w:val="both"/>
        <w:rPr>
          <w:sz w:val="28"/>
          <w:szCs w:val="28"/>
        </w:rPr>
      </w:pPr>
      <w:r>
        <w:rPr>
          <w:sz w:val="28"/>
          <w:szCs w:val="28"/>
        </w:rPr>
        <w:tab/>
      </w:r>
    </w:p>
    <w:p w:rsidR="00AC504D" w:rsidRDefault="00E538C1">
      <w:pPr>
        <w:spacing w:before="0"/>
        <w:ind w:firstLine="720"/>
        <w:jc w:val="both"/>
        <w:rPr>
          <w:sz w:val="28"/>
          <w:szCs w:val="28"/>
        </w:rPr>
      </w:pPr>
      <w:r>
        <w:rPr>
          <w:sz w:val="28"/>
          <w:szCs w:val="28"/>
        </w:rPr>
        <w:tab/>
        <w:t>от 5 до 10 лет включительно</w:t>
      </w:r>
      <w:r>
        <w:rPr>
          <w:sz w:val="28"/>
          <w:szCs w:val="28"/>
        </w:rPr>
        <w:tab/>
        <w:t>25 баллов</w:t>
      </w:r>
      <w:r>
        <w:rPr>
          <w:sz w:val="28"/>
          <w:szCs w:val="28"/>
        </w:rPr>
        <w:tab/>
      </w:r>
    </w:p>
    <w:p w:rsidR="00AC504D" w:rsidRDefault="00E538C1">
      <w:pPr>
        <w:spacing w:before="0"/>
        <w:ind w:firstLine="720"/>
        <w:jc w:val="both"/>
        <w:rPr>
          <w:sz w:val="28"/>
          <w:szCs w:val="28"/>
        </w:rPr>
      </w:pPr>
      <w:r>
        <w:rPr>
          <w:sz w:val="28"/>
          <w:szCs w:val="28"/>
        </w:rPr>
        <w:tab/>
        <w:t>более 10 лет</w:t>
      </w:r>
      <w:r>
        <w:rPr>
          <w:sz w:val="28"/>
          <w:szCs w:val="28"/>
        </w:rPr>
        <w:tab/>
        <w:t>50 баллов</w:t>
      </w:r>
      <w:r>
        <w:rPr>
          <w:sz w:val="28"/>
          <w:szCs w:val="28"/>
        </w:rPr>
        <w:tab/>
        <w:t>20%</w:t>
      </w:r>
    </w:p>
    <w:p w:rsidR="00AC504D" w:rsidRDefault="00E538C1">
      <w:pPr>
        <w:spacing w:before="0"/>
        <w:ind w:firstLine="720"/>
        <w:jc w:val="both"/>
        <w:rPr>
          <w:sz w:val="28"/>
          <w:szCs w:val="28"/>
        </w:rPr>
      </w:pPr>
      <w:r>
        <w:rPr>
          <w:sz w:val="28"/>
          <w:szCs w:val="28"/>
        </w:rPr>
        <w:t>2</w:t>
      </w:r>
      <w:r>
        <w:rPr>
          <w:sz w:val="28"/>
          <w:szCs w:val="28"/>
        </w:rPr>
        <w:tab/>
        <w:t>Наличие специалистов необходимого уровня квалификации:</w:t>
      </w:r>
    </w:p>
    <w:p w:rsidR="00AC504D" w:rsidRDefault="00E538C1">
      <w:pPr>
        <w:spacing w:before="0"/>
        <w:ind w:firstLine="720"/>
        <w:jc w:val="both"/>
        <w:rPr>
          <w:sz w:val="28"/>
          <w:szCs w:val="28"/>
        </w:rPr>
      </w:pPr>
      <w:r>
        <w:rPr>
          <w:sz w:val="28"/>
          <w:szCs w:val="28"/>
        </w:rPr>
        <w:t>1) Наличие в штате Исполнителя специалистов, имеющих удостоверения на право заниматься охранной деятельностью.</w:t>
      </w:r>
    </w:p>
    <w:p w:rsidR="00AC504D" w:rsidRDefault="00E538C1">
      <w:pPr>
        <w:spacing w:before="0"/>
        <w:ind w:firstLine="720"/>
        <w:jc w:val="both"/>
        <w:rPr>
          <w:sz w:val="28"/>
          <w:szCs w:val="28"/>
        </w:rPr>
      </w:pPr>
      <w:r>
        <w:rPr>
          <w:sz w:val="28"/>
          <w:szCs w:val="28"/>
        </w:rPr>
        <w:t xml:space="preserve">2) Наличие у Исполнителя в штате специалистов, имеющих разрешение на право ношения огнестрельного оружия. </w:t>
      </w:r>
    </w:p>
    <w:p w:rsidR="00AC504D" w:rsidRDefault="00E538C1">
      <w:pPr>
        <w:spacing w:before="0"/>
        <w:ind w:firstLine="720"/>
        <w:jc w:val="both"/>
        <w:rPr>
          <w:sz w:val="28"/>
          <w:szCs w:val="28"/>
        </w:rPr>
      </w:pPr>
      <w:r>
        <w:rPr>
          <w:sz w:val="28"/>
          <w:szCs w:val="28"/>
        </w:rPr>
        <w:t>За каждого специалиста, соответствующему хотя бы одному из данных показателей критерия, присваивается 10 баллов, но не более 50 баллов в общей сложности</w:t>
      </w:r>
      <w:proofErr w:type="gramStart"/>
      <w:r>
        <w:rPr>
          <w:sz w:val="28"/>
          <w:szCs w:val="28"/>
        </w:rPr>
        <w:t>.</w:t>
      </w:r>
      <w:proofErr w:type="gramEnd"/>
      <w:r>
        <w:rPr>
          <w:sz w:val="28"/>
          <w:szCs w:val="28"/>
        </w:rPr>
        <w:tab/>
      </w:r>
      <w:proofErr w:type="gramStart"/>
      <w:r>
        <w:rPr>
          <w:sz w:val="28"/>
          <w:szCs w:val="28"/>
        </w:rPr>
        <w:t>о</w:t>
      </w:r>
      <w:proofErr w:type="gramEnd"/>
      <w:r>
        <w:rPr>
          <w:sz w:val="28"/>
          <w:szCs w:val="28"/>
        </w:rPr>
        <w:t>т 0 до 50 баллов</w:t>
      </w:r>
    </w:p>
    <w:p w:rsidR="00AC504D" w:rsidRDefault="00AC504D">
      <w:pPr>
        <w:spacing w:before="0"/>
        <w:ind w:firstLine="720"/>
        <w:jc w:val="both"/>
        <w:rPr>
          <w:sz w:val="28"/>
          <w:szCs w:val="28"/>
        </w:rPr>
      </w:pPr>
    </w:p>
    <w:p w:rsidR="00AC504D" w:rsidRDefault="00AC504D">
      <w:pPr>
        <w:spacing w:before="0"/>
        <w:ind w:firstLine="720"/>
        <w:jc w:val="both"/>
        <w:rPr>
          <w:sz w:val="28"/>
          <w:szCs w:val="28"/>
        </w:rPr>
      </w:pPr>
    </w:p>
    <w:p w:rsidR="00AC504D" w:rsidRDefault="00E538C1">
      <w:pPr>
        <w:spacing w:before="0"/>
        <w:ind w:firstLine="720"/>
        <w:jc w:val="both"/>
        <w:rPr>
          <w:sz w:val="28"/>
          <w:szCs w:val="28"/>
        </w:rPr>
      </w:pPr>
      <w:r>
        <w:rPr>
          <w:sz w:val="28"/>
          <w:szCs w:val="28"/>
        </w:rPr>
        <w:t>25 баллов</w:t>
      </w:r>
    </w:p>
    <w:p w:rsidR="00AC504D" w:rsidRDefault="00AC504D">
      <w:pPr>
        <w:spacing w:before="0"/>
        <w:ind w:firstLine="720"/>
        <w:jc w:val="both"/>
        <w:rPr>
          <w:sz w:val="28"/>
          <w:szCs w:val="28"/>
        </w:rPr>
      </w:pPr>
    </w:p>
    <w:p w:rsidR="00AC504D" w:rsidRDefault="00AC504D">
      <w:pPr>
        <w:spacing w:before="0"/>
        <w:ind w:firstLine="720"/>
        <w:jc w:val="both"/>
        <w:rPr>
          <w:sz w:val="28"/>
          <w:szCs w:val="28"/>
        </w:rPr>
      </w:pPr>
    </w:p>
    <w:p w:rsidR="00AC504D" w:rsidRDefault="00E538C1">
      <w:pPr>
        <w:spacing w:before="0"/>
        <w:ind w:firstLine="720"/>
        <w:jc w:val="both"/>
        <w:rPr>
          <w:sz w:val="28"/>
          <w:szCs w:val="28"/>
        </w:rPr>
      </w:pPr>
      <w:r>
        <w:rPr>
          <w:sz w:val="28"/>
          <w:szCs w:val="28"/>
        </w:rPr>
        <w:t>50 баллов</w:t>
      </w:r>
    </w:p>
    <w:p w:rsidR="00AC504D" w:rsidRDefault="00AC504D">
      <w:pPr>
        <w:spacing w:before="0"/>
        <w:ind w:firstLine="720"/>
        <w:jc w:val="both"/>
        <w:rPr>
          <w:sz w:val="28"/>
          <w:szCs w:val="28"/>
        </w:rPr>
      </w:pPr>
    </w:p>
    <w:p w:rsidR="00AC504D" w:rsidRDefault="00AC504D">
      <w:pPr>
        <w:spacing w:before="0"/>
        <w:ind w:firstLine="720"/>
        <w:jc w:val="both"/>
        <w:rPr>
          <w:sz w:val="28"/>
          <w:szCs w:val="28"/>
        </w:rPr>
      </w:pPr>
    </w:p>
    <w:p w:rsidR="00AC504D" w:rsidRDefault="00E538C1">
      <w:pPr>
        <w:spacing w:before="0"/>
        <w:ind w:firstLine="720"/>
        <w:jc w:val="both"/>
        <w:rPr>
          <w:sz w:val="28"/>
          <w:szCs w:val="28"/>
        </w:rPr>
      </w:pPr>
      <w:r>
        <w:rPr>
          <w:sz w:val="28"/>
          <w:szCs w:val="28"/>
        </w:rPr>
        <w:t>0-50 баллов</w:t>
      </w:r>
      <w:r>
        <w:rPr>
          <w:sz w:val="28"/>
          <w:szCs w:val="28"/>
        </w:rPr>
        <w:tab/>
      </w:r>
    </w:p>
    <w:p w:rsidR="00AC504D" w:rsidRDefault="00E538C1">
      <w:pPr>
        <w:spacing w:before="0"/>
        <w:ind w:firstLine="720"/>
        <w:jc w:val="both"/>
        <w:rPr>
          <w:sz w:val="28"/>
          <w:szCs w:val="28"/>
        </w:rPr>
      </w:pPr>
      <w:r>
        <w:rPr>
          <w:sz w:val="28"/>
          <w:szCs w:val="28"/>
        </w:rPr>
        <w:t>Итого</w:t>
      </w:r>
      <w:r>
        <w:rPr>
          <w:sz w:val="28"/>
          <w:szCs w:val="28"/>
        </w:rPr>
        <w:tab/>
      </w:r>
      <w:r>
        <w:rPr>
          <w:sz w:val="28"/>
          <w:szCs w:val="28"/>
        </w:rPr>
        <w:tab/>
        <w:t>100%</w:t>
      </w:r>
    </w:p>
    <w:p w:rsidR="00AC504D" w:rsidRDefault="00E538C1">
      <w:pPr>
        <w:spacing w:before="0"/>
        <w:ind w:firstLine="720"/>
        <w:jc w:val="both"/>
        <w:rPr>
          <w:sz w:val="28"/>
          <w:szCs w:val="28"/>
        </w:rPr>
      </w:pPr>
      <w:r>
        <w:rPr>
          <w:sz w:val="28"/>
          <w:szCs w:val="28"/>
        </w:rPr>
        <w:t xml:space="preserve">В соответствии с пунктом 11 Правил для оценки заявок (предложений) </w:t>
      </w:r>
      <w:r>
        <w:rPr>
          <w:sz w:val="28"/>
          <w:szCs w:val="28"/>
        </w:rPr>
        <w:lastRenderedPageBreak/>
        <w:t xml:space="preserve">по каждому критерию оценки используется 100-балльная шкала оценки. </w:t>
      </w:r>
      <w:proofErr w:type="gramStart"/>
      <w:r>
        <w:rPr>
          <w:sz w:val="28"/>
          <w:szCs w:val="28"/>
        </w:rPr>
        <w:t>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r>
        <w:rPr>
          <w:sz w:val="28"/>
          <w:szCs w:val="28"/>
        </w:rPr>
        <w:t xml:space="preserve"> Для оценки заявок (предложений) по </w:t>
      </w:r>
      <w:proofErr w:type="spellStart"/>
      <w:r>
        <w:rPr>
          <w:sz w:val="28"/>
          <w:szCs w:val="28"/>
        </w:rPr>
        <w:t>нестоимостным</w:t>
      </w:r>
      <w:proofErr w:type="spellEnd"/>
      <w:r>
        <w:rPr>
          <w:sz w:val="28"/>
          <w:szCs w:val="28"/>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w:t>
      </w:r>
      <w:proofErr w:type="gramStart"/>
      <w:r>
        <w:rPr>
          <w:sz w:val="28"/>
          <w:szCs w:val="28"/>
        </w:rPr>
        <w:t>величин значимости показателей критерия оценки</w:t>
      </w:r>
      <w:proofErr w:type="gramEnd"/>
      <w:r>
        <w:rPr>
          <w:sz w:val="28"/>
          <w:szCs w:val="28"/>
        </w:rPr>
        <w:t xml:space="preserve"> должна составлять 100 процентов.</w:t>
      </w:r>
    </w:p>
    <w:p w:rsidR="00AC504D" w:rsidRDefault="00E538C1">
      <w:pPr>
        <w:spacing w:before="0"/>
        <w:ind w:firstLine="720"/>
        <w:jc w:val="both"/>
        <w:rPr>
          <w:sz w:val="28"/>
          <w:szCs w:val="28"/>
        </w:rPr>
      </w:pPr>
      <w:r>
        <w:rPr>
          <w:sz w:val="28"/>
          <w:szCs w:val="28"/>
        </w:rPr>
        <w:t xml:space="preserve">На основании изложенного, при наличии в документации о закупке показателей </w:t>
      </w:r>
      <w:proofErr w:type="spellStart"/>
      <w:r>
        <w:rPr>
          <w:sz w:val="28"/>
          <w:szCs w:val="28"/>
        </w:rPr>
        <w:t>нестоимостного</w:t>
      </w:r>
      <w:proofErr w:type="spellEnd"/>
      <w:r>
        <w:rPr>
          <w:sz w:val="28"/>
          <w:szCs w:val="28"/>
        </w:rPr>
        <w:t xml:space="preserve"> критерия, порядок оценки должен содержать:</w:t>
      </w:r>
    </w:p>
    <w:p w:rsidR="00AC504D" w:rsidRDefault="00E538C1">
      <w:pPr>
        <w:spacing w:before="0"/>
        <w:ind w:firstLine="720"/>
        <w:jc w:val="both"/>
        <w:rPr>
          <w:sz w:val="28"/>
          <w:szCs w:val="28"/>
        </w:rPr>
      </w:pPr>
      <w:r>
        <w:rPr>
          <w:sz w:val="28"/>
          <w:szCs w:val="28"/>
        </w:rPr>
        <w:t>1) значимость в отношении каждого показателя, которая в соответствии с пунктом 3 Правил является выраженным в процентах весом показателя;</w:t>
      </w:r>
    </w:p>
    <w:p w:rsidR="00AC504D" w:rsidRDefault="00E538C1">
      <w:pPr>
        <w:spacing w:before="0"/>
        <w:ind w:firstLine="720"/>
        <w:jc w:val="both"/>
        <w:rPr>
          <w:sz w:val="28"/>
          <w:szCs w:val="28"/>
        </w:rPr>
      </w:pPr>
      <w:r>
        <w:rPr>
          <w:sz w:val="28"/>
          <w:szCs w:val="28"/>
        </w:rPr>
        <w:t xml:space="preserve">2) сумму </w:t>
      </w:r>
      <w:proofErr w:type="gramStart"/>
      <w:r>
        <w:rPr>
          <w:sz w:val="28"/>
          <w:szCs w:val="28"/>
        </w:rPr>
        <w:t>величин значимости показателей критерия оценки</w:t>
      </w:r>
      <w:proofErr w:type="gramEnd"/>
      <w:r>
        <w:rPr>
          <w:sz w:val="28"/>
          <w:szCs w:val="28"/>
        </w:rPr>
        <w:t xml:space="preserve"> в размере 100 процентов;</w:t>
      </w:r>
    </w:p>
    <w:p w:rsidR="00AC504D" w:rsidRDefault="00E538C1">
      <w:pPr>
        <w:spacing w:before="0"/>
        <w:ind w:firstLine="720"/>
        <w:jc w:val="both"/>
        <w:rPr>
          <w:sz w:val="28"/>
          <w:szCs w:val="28"/>
        </w:rPr>
      </w:pPr>
      <w:r>
        <w:rPr>
          <w:sz w:val="28"/>
          <w:szCs w:val="28"/>
        </w:rPr>
        <w:t>3)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rsidR="00AC504D" w:rsidRDefault="00E538C1">
      <w:pPr>
        <w:spacing w:before="0"/>
        <w:ind w:firstLine="720"/>
        <w:jc w:val="both"/>
        <w:rPr>
          <w:sz w:val="28"/>
          <w:szCs w:val="28"/>
        </w:rPr>
      </w:pPr>
      <w:r>
        <w:rPr>
          <w:sz w:val="28"/>
          <w:szCs w:val="28"/>
        </w:rPr>
        <w:t>На заседании Комиссии установлено, что согласно пункту 2 таблицы показателя «Опыт участника по успешной поставке товара, выполнению работ, оказанию услуг сопоставимого характера и объема» Критерия № 2, установлено, в том числе, следующее: «За каждого специалиста, соответствующему хотя бы одному из данных показателей критерия, присваивается 10 баллов, но не более 50 баллов в общей сложности», вместе с тем, Заказчиком при оценке по данному показателю установлена следующая шкала величин значимости «от 0 до 50 баллов, 25 баллов, 50 баллов, 0-50 баллов».</w:t>
      </w:r>
    </w:p>
    <w:p w:rsidR="00AC504D" w:rsidRDefault="00E538C1">
      <w:pPr>
        <w:spacing w:before="0"/>
        <w:ind w:firstLine="720"/>
        <w:jc w:val="both"/>
        <w:rPr>
          <w:sz w:val="28"/>
          <w:szCs w:val="28"/>
        </w:rPr>
      </w:pPr>
      <w:r>
        <w:rPr>
          <w:sz w:val="28"/>
          <w:szCs w:val="28"/>
        </w:rPr>
        <w:t>Вместе с тем, Комиссия приходит к выводу, что Заказчиком по показателю «Опыт участника по успешной поставке товара, выполнению работ, оказанию услуг сопоставимого характера и объема» Критерия № 2 установлен противоречивый порядок оценки, не позволяющий выявить лучшие условия исполнения контракта.</w:t>
      </w:r>
    </w:p>
    <w:p w:rsidR="00AC504D" w:rsidRDefault="00E538C1">
      <w:pPr>
        <w:spacing w:before="0"/>
        <w:ind w:firstLine="720"/>
        <w:jc w:val="both"/>
        <w:rPr>
          <w:sz w:val="28"/>
          <w:szCs w:val="28"/>
        </w:rPr>
      </w:pPr>
      <w:proofErr w:type="gramStart"/>
      <w:r>
        <w:rPr>
          <w:sz w:val="28"/>
          <w:szCs w:val="28"/>
        </w:rPr>
        <w:t xml:space="preserve">Кроме того, на заседании Комиссии установлено, что коэффициенты </w:t>
      </w:r>
      <w:r>
        <w:rPr>
          <w:sz w:val="28"/>
          <w:szCs w:val="28"/>
        </w:rPr>
        <w:lastRenderedPageBreak/>
        <w:t>значимости по показателю «Опыт участника по успешной поставке товара, выполнению работ, оказанию услуг сопоставимого характера и объема» Критерия № 2 не соответствуют требованиям пункта 11 Правил оценки заявок, поскольку заявкам участников закупки, сделавшим предложение, соответствующее предельно необходимому количественному значению, подлежащих оценке, или лучшее предложение, неправомерно присваивается не 100 баллов, а 50 баллов, что</w:t>
      </w:r>
      <w:proofErr w:type="gramEnd"/>
      <w:r>
        <w:rPr>
          <w:sz w:val="28"/>
          <w:szCs w:val="28"/>
        </w:rPr>
        <w:t xml:space="preserve"> не позволяет выявить лучшее условие исполнения контракта.</w:t>
      </w:r>
    </w:p>
    <w:p w:rsidR="00AC504D" w:rsidRDefault="00E538C1">
      <w:pPr>
        <w:spacing w:before="0"/>
        <w:ind w:firstLine="720"/>
        <w:jc w:val="both"/>
        <w:rPr>
          <w:sz w:val="28"/>
          <w:szCs w:val="28"/>
        </w:rPr>
      </w:pPr>
      <w:r>
        <w:rPr>
          <w:sz w:val="28"/>
          <w:szCs w:val="28"/>
        </w:rPr>
        <w:t>Таким образом, действия Заказчика, установившего ненадлежащий порядок оценки заявок на участие в Конкурсе, нарушают пункт 9 части 1 статьи 50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504D" w:rsidRDefault="00E538C1">
      <w:pPr>
        <w:spacing w:before="0"/>
        <w:ind w:firstLine="720"/>
        <w:jc w:val="both"/>
        <w:rPr>
          <w:sz w:val="28"/>
          <w:szCs w:val="28"/>
        </w:rPr>
      </w:pPr>
      <w:r>
        <w:rPr>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AC504D" w:rsidRDefault="00E538C1">
      <w:pPr>
        <w:spacing w:before="0"/>
        <w:ind w:firstLine="720"/>
        <w:jc w:val="both"/>
        <w:rPr>
          <w:sz w:val="28"/>
          <w:szCs w:val="28"/>
        </w:rPr>
      </w:pPr>
      <w:r>
        <w:rPr>
          <w:sz w:val="28"/>
          <w:szCs w:val="28"/>
        </w:rPr>
        <w:t>РЕШИЛА:</w:t>
      </w:r>
    </w:p>
    <w:p w:rsidR="00AC504D" w:rsidRDefault="00E538C1">
      <w:pPr>
        <w:spacing w:before="0"/>
        <w:ind w:firstLine="720"/>
        <w:jc w:val="both"/>
        <w:rPr>
          <w:sz w:val="28"/>
          <w:szCs w:val="28"/>
        </w:rPr>
      </w:pPr>
      <w:r>
        <w:rPr>
          <w:sz w:val="28"/>
          <w:szCs w:val="28"/>
        </w:rPr>
        <w:t>1.</w:t>
      </w:r>
      <w:r>
        <w:rPr>
          <w:sz w:val="28"/>
          <w:szCs w:val="28"/>
        </w:rPr>
        <w:tab/>
        <w:t>Признать жалоб</w:t>
      </w:r>
      <w:proofErr w:type="gramStart"/>
      <w:r>
        <w:rPr>
          <w:sz w:val="28"/>
          <w:szCs w:val="28"/>
        </w:rPr>
        <w:t>у ООО</w:t>
      </w:r>
      <w:proofErr w:type="gramEnd"/>
      <w:r>
        <w:rPr>
          <w:sz w:val="28"/>
          <w:szCs w:val="28"/>
        </w:rPr>
        <w:t xml:space="preserve"> «Охранное предприятие «Цитадель» обоснованной в части установления противоречивого порядка оценки заявок по показателю «Опыт участника по успешной поставке товара, выполнению работ, оказанию услуг сопоставимого характера и объема» Критерия № 2 Конкурсной документации.</w:t>
      </w:r>
    </w:p>
    <w:p w:rsidR="00AC504D" w:rsidRDefault="00E538C1">
      <w:pPr>
        <w:spacing w:before="0"/>
        <w:ind w:firstLine="720"/>
        <w:jc w:val="both"/>
        <w:rPr>
          <w:sz w:val="28"/>
          <w:szCs w:val="28"/>
        </w:rPr>
      </w:pPr>
      <w:r>
        <w:rPr>
          <w:sz w:val="28"/>
          <w:szCs w:val="28"/>
        </w:rPr>
        <w:t>2.</w:t>
      </w:r>
      <w:r>
        <w:rPr>
          <w:sz w:val="28"/>
          <w:szCs w:val="28"/>
        </w:rPr>
        <w:tab/>
        <w:t xml:space="preserve">Признать в действиях Заказчика нарушение пункта 9 части 1 статьи 50 Закона о контрактной системе. </w:t>
      </w:r>
    </w:p>
    <w:p w:rsidR="00AC504D" w:rsidRDefault="00E538C1">
      <w:pPr>
        <w:spacing w:before="0"/>
        <w:ind w:firstLine="720"/>
        <w:jc w:val="both"/>
        <w:rPr>
          <w:sz w:val="28"/>
          <w:szCs w:val="28"/>
        </w:rPr>
      </w:pPr>
      <w:r>
        <w:rPr>
          <w:sz w:val="28"/>
          <w:szCs w:val="28"/>
        </w:rPr>
        <w:t>3.</w:t>
      </w:r>
      <w:r>
        <w:rPr>
          <w:sz w:val="28"/>
          <w:szCs w:val="28"/>
        </w:rPr>
        <w:tab/>
        <w:t>Выдать Заказчику предписание об устранении нарушений Закона о контрактной системе.</w:t>
      </w:r>
    </w:p>
    <w:p w:rsidR="00AC504D" w:rsidRDefault="00E538C1">
      <w:pPr>
        <w:spacing w:before="0"/>
        <w:ind w:firstLine="720"/>
        <w:jc w:val="both"/>
        <w:rPr>
          <w:sz w:val="28"/>
          <w:szCs w:val="28"/>
        </w:rPr>
      </w:pPr>
      <w:r>
        <w:rPr>
          <w:sz w:val="28"/>
          <w:szCs w:val="28"/>
        </w:rPr>
        <w:t>4.</w:t>
      </w:r>
      <w:r>
        <w:rPr>
          <w:sz w:val="28"/>
          <w:szCs w:val="28"/>
        </w:rPr>
        <w:tab/>
        <w:t>Передать материалы дела от 20.06.2016 № К–947/16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AC504D" w:rsidRDefault="00AC504D">
      <w:pPr>
        <w:spacing w:before="0"/>
        <w:ind w:firstLine="720"/>
        <w:jc w:val="both"/>
        <w:rPr>
          <w:sz w:val="28"/>
          <w:szCs w:val="28"/>
        </w:rPr>
      </w:pPr>
    </w:p>
    <w:p w:rsidR="00AC504D" w:rsidRDefault="00E538C1">
      <w:pPr>
        <w:spacing w:before="0"/>
        <w:ind w:firstLine="720"/>
        <w:jc w:val="both"/>
        <w:rPr>
          <w:sz w:val="28"/>
          <w:szCs w:val="28"/>
        </w:rPr>
      </w:pPr>
      <w:r>
        <w:rPr>
          <w:sz w:val="28"/>
          <w:szCs w:val="28"/>
        </w:rPr>
        <w:t>Настоящее решение может быть обжаловано в суде, арбитражном суде в течение трех месяцев в установленном законом порядке.</w:t>
      </w:r>
    </w:p>
    <w:p w:rsidR="00AC504D" w:rsidRDefault="00AC504D">
      <w:pPr>
        <w:spacing w:before="0"/>
        <w:ind w:firstLine="720"/>
        <w:jc w:val="both"/>
        <w:rPr>
          <w:sz w:val="28"/>
          <w:szCs w:val="28"/>
        </w:rPr>
      </w:pPr>
    </w:p>
    <w:p w:rsidR="00E538C1" w:rsidRDefault="00E538C1">
      <w:pPr>
        <w:spacing w:before="0"/>
        <w:ind w:firstLine="0"/>
        <w:rPr>
          <w:sz w:val="28"/>
          <w:szCs w:val="28"/>
        </w:rPr>
      </w:pPr>
    </w:p>
    <w:sectPr w:rsidR="00E538C1">
      <w:headerReference w:type="default" r:id="rId8"/>
      <w:pgSz w:w="11907" w:h="16389" w:code="9"/>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ABF" w:rsidRDefault="00255ABF">
      <w:pPr>
        <w:spacing w:before="0"/>
      </w:pPr>
      <w:r>
        <w:separator/>
      </w:r>
    </w:p>
  </w:endnote>
  <w:endnote w:type="continuationSeparator" w:id="0">
    <w:p w:rsidR="00255ABF" w:rsidRDefault="00255AB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ABF" w:rsidRDefault="00255ABF">
      <w:pPr>
        <w:spacing w:before="0"/>
      </w:pPr>
      <w:r>
        <w:separator/>
      </w:r>
    </w:p>
  </w:footnote>
  <w:footnote w:type="continuationSeparator" w:id="0">
    <w:p w:rsidR="00255ABF" w:rsidRDefault="00255ABF">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4D" w:rsidRDefault="00E538C1">
    <w:pPr>
      <w:pStyle w:val="a3"/>
      <w:tabs>
        <w:tab w:val="center" w:pos="4677"/>
        <w:tab w:val="right" w:pos="9355"/>
      </w:tabs>
      <w:spacing w:after="192"/>
      <w:jc w:val="center"/>
    </w:pPr>
    <w:r>
      <w:fldChar w:fldCharType="begin"/>
    </w:r>
    <w:r>
      <w:instrText xml:space="preserve"> PAGE   \* MERGEFORMAT </w:instrText>
    </w:r>
    <w:r>
      <w:fldChar w:fldCharType="separate"/>
    </w:r>
    <w:r w:rsidR="008D6A8C">
      <w:rPr>
        <w:noProof/>
      </w:rPr>
      <w:t>8</w:t>
    </w:r>
    <w:r>
      <w:fldChar w:fldCharType="end"/>
    </w:r>
  </w:p>
  <w:p w:rsidR="00AC504D" w:rsidRDefault="00AC504D">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F086"/>
    <w:multiLevelType w:val="hybridMultilevel"/>
    <w:tmpl w:val="FFFFFFFF"/>
    <w:lvl w:ilvl="0" w:tplc="D1B6CEB4">
      <w:start w:val="1"/>
      <w:numFmt w:val="decimal"/>
      <w:lvlText w:val="%1."/>
      <w:lvlJc w:val="left"/>
      <w:pPr>
        <w:ind w:left="720" w:hanging="360"/>
      </w:pPr>
      <w:rPr>
        <w:color w:val="000000"/>
      </w:rPr>
    </w:lvl>
    <w:lvl w:ilvl="1" w:tplc="D1B6CEB4">
      <w:start w:val="1"/>
      <w:numFmt w:val="decimal"/>
      <w:lvlText w:val="%2."/>
      <w:lvlJc w:val="left"/>
      <w:pPr>
        <w:ind w:left="1440" w:hanging="360"/>
      </w:pPr>
      <w:rPr>
        <w:color w:val="000000"/>
      </w:rPr>
    </w:lvl>
    <w:lvl w:ilvl="2" w:tplc="D1B6CEB4">
      <w:start w:val="1"/>
      <w:numFmt w:val="decimal"/>
      <w:lvlText w:val="%3."/>
      <w:lvlJc w:val="left"/>
      <w:pPr>
        <w:ind w:left="2160" w:hanging="360"/>
      </w:pPr>
      <w:rPr>
        <w:color w:val="000000"/>
      </w:rPr>
    </w:lvl>
    <w:lvl w:ilvl="3" w:tplc="D1B6CEB4">
      <w:start w:val="1"/>
      <w:numFmt w:val="decimal"/>
      <w:lvlText w:val="%4."/>
      <w:lvlJc w:val="left"/>
      <w:pPr>
        <w:ind w:left="2880" w:hanging="360"/>
      </w:pPr>
      <w:rPr>
        <w:color w:val="000000"/>
      </w:rPr>
    </w:lvl>
    <w:lvl w:ilvl="4" w:tplc="D1B6CEB4">
      <w:start w:val="1"/>
      <w:numFmt w:val="decimal"/>
      <w:lvlText w:val="%5."/>
      <w:lvlJc w:val="left"/>
      <w:pPr>
        <w:ind w:left="3600" w:hanging="360"/>
      </w:pPr>
      <w:rPr>
        <w:color w:val="000000"/>
      </w:rPr>
    </w:lvl>
    <w:lvl w:ilvl="5" w:tplc="D1B6CEB4">
      <w:start w:val="1"/>
      <w:numFmt w:val="decimal"/>
      <w:lvlText w:val="%6."/>
      <w:lvlJc w:val="left"/>
      <w:pPr>
        <w:ind w:left="4320" w:hanging="360"/>
      </w:pPr>
      <w:rPr>
        <w:color w:val="000000"/>
      </w:rPr>
    </w:lvl>
    <w:lvl w:ilvl="6" w:tplc="D1B6CEB4">
      <w:start w:val="1"/>
      <w:numFmt w:val="decimal"/>
      <w:lvlText w:val="%7."/>
      <w:lvlJc w:val="left"/>
      <w:pPr>
        <w:ind w:left="5040" w:hanging="360"/>
      </w:pPr>
      <w:rPr>
        <w:color w:val="000000"/>
      </w:rPr>
    </w:lvl>
    <w:lvl w:ilvl="7" w:tplc="D1B6CEB4">
      <w:start w:val="1"/>
      <w:numFmt w:val="decimal"/>
      <w:lvlText w:val="%8."/>
      <w:lvlJc w:val="left"/>
      <w:pPr>
        <w:ind w:left="5760" w:hanging="360"/>
      </w:pPr>
      <w:rPr>
        <w:color w:val="000000"/>
      </w:rPr>
    </w:lvl>
    <w:lvl w:ilvl="8" w:tplc="D1B6CEB4">
      <w:start w:val="1"/>
      <w:numFmt w:val="decimal"/>
      <w:lvlText w:val="%9."/>
      <w:lvlJc w:val="left"/>
      <w:pPr>
        <w:ind w:left="6480" w:hanging="360"/>
      </w:pPr>
      <w:rPr>
        <w:color w:val="000000"/>
      </w:rPr>
    </w:lvl>
  </w:abstractNum>
  <w:abstractNum w:abstractNumId="1">
    <w:nsid w:val="186E3B70"/>
    <w:multiLevelType w:val="hybridMultilevel"/>
    <w:tmpl w:val="FFFFFFFF"/>
    <w:lvl w:ilvl="0" w:tplc="D1B6CEB4">
      <w:start w:val="1"/>
      <w:numFmt w:val="decimal"/>
      <w:lvlText w:val="%1)"/>
      <w:lvlJc w:val="left"/>
      <w:pPr>
        <w:ind w:firstLine="426"/>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2">
    <w:nsid w:val="1D9D873B"/>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3">
    <w:nsid w:val="1F221DBE"/>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4">
    <w:nsid w:val="24DE28D6"/>
    <w:multiLevelType w:val="hybridMultilevel"/>
    <w:tmpl w:val="FFFFFFFF"/>
    <w:lvl w:ilvl="0" w:tplc="D1B6CEB4">
      <w:start w:val="1"/>
      <w:numFmt w:val="decimal"/>
      <w:lvlText w:val="%1)"/>
      <w:lvlJc w:val="left"/>
      <w:pPr>
        <w:ind w:left="935" w:hanging="359"/>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5">
    <w:nsid w:val="2C87BA68"/>
    <w:multiLevelType w:val="hybridMultilevel"/>
    <w:tmpl w:val="FFFFFFFF"/>
    <w:lvl w:ilvl="0" w:tplc="D1B6CEB4">
      <w:start w:val="1"/>
      <w:numFmt w:val="decimal"/>
      <w:lvlText w:val="%1)"/>
      <w:lvlJc w:val="left"/>
      <w:pPr>
        <w:ind w:left="360" w:hanging="360"/>
      </w:pPr>
      <w:rPr>
        <w:color w:val="000000"/>
      </w:rPr>
    </w:lvl>
    <w:lvl w:ilvl="1" w:tplc="04190019">
      <w:start w:val="1"/>
      <w:numFmt w:val="lowerLetter"/>
      <w:lvlText w:val="%2."/>
      <w:lvlJc w:val="left"/>
      <w:pPr>
        <w:ind w:left="1080" w:hanging="360"/>
      </w:pPr>
      <w:rPr>
        <w:color w:val="000000"/>
      </w:rPr>
    </w:lvl>
    <w:lvl w:ilvl="2" w:tplc="0419001B">
      <w:start w:val="1"/>
      <w:numFmt w:val="lowerRoman"/>
      <w:lvlText w:val="%3."/>
      <w:lvlJc w:val="right"/>
      <w:pPr>
        <w:ind w:left="1800" w:hanging="180"/>
      </w:pPr>
      <w:rPr>
        <w:color w:val="000000"/>
      </w:rPr>
    </w:lvl>
    <w:lvl w:ilvl="3" w:tplc="D1B6CEB4">
      <w:start w:val="1"/>
      <w:numFmt w:val="decimal"/>
      <w:lvlText w:val="%4."/>
      <w:lvlJc w:val="left"/>
      <w:pPr>
        <w:ind w:left="2520" w:hanging="360"/>
      </w:pPr>
      <w:rPr>
        <w:color w:val="000000"/>
      </w:rPr>
    </w:lvl>
    <w:lvl w:ilvl="4" w:tplc="04190019">
      <w:start w:val="1"/>
      <w:numFmt w:val="lowerLetter"/>
      <w:lvlText w:val="%5."/>
      <w:lvlJc w:val="left"/>
      <w:pPr>
        <w:ind w:left="3240" w:hanging="360"/>
      </w:pPr>
      <w:rPr>
        <w:color w:val="000000"/>
      </w:rPr>
    </w:lvl>
    <w:lvl w:ilvl="5" w:tplc="0419001B">
      <w:start w:val="1"/>
      <w:numFmt w:val="lowerRoman"/>
      <w:lvlText w:val="%6."/>
      <w:lvlJc w:val="right"/>
      <w:pPr>
        <w:ind w:left="3960" w:hanging="180"/>
      </w:pPr>
      <w:rPr>
        <w:color w:val="000000"/>
      </w:rPr>
    </w:lvl>
    <w:lvl w:ilvl="6" w:tplc="D1B6CEB4">
      <w:start w:val="1"/>
      <w:numFmt w:val="decimal"/>
      <w:lvlText w:val="%7."/>
      <w:lvlJc w:val="left"/>
      <w:pPr>
        <w:ind w:left="4680" w:hanging="360"/>
      </w:pPr>
      <w:rPr>
        <w:color w:val="000000"/>
      </w:rPr>
    </w:lvl>
    <w:lvl w:ilvl="7" w:tplc="04190019">
      <w:start w:val="1"/>
      <w:numFmt w:val="lowerLetter"/>
      <w:lvlText w:val="%8."/>
      <w:lvlJc w:val="left"/>
      <w:pPr>
        <w:ind w:left="5400" w:hanging="360"/>
      </w:pPr>
      <w:rPr>
        <w:color w:val="000000"/>
      </w:rPr>
    </w:lvl>
    <w:lvl w:ilvl="8" w:tplc="0419001B">
      <w:start w:val="1"/>
      <w:numFmt w:val="lowerRoman"/>
      <w:lvlText w:val="%9."/>
      <w:lvlJc w:val="right"/>
      <w:pPr>
        <w:ind w:left="6120" w:hanging="180"/>
      </w:pPr>
      <w:rPr>
        <w:color w:val="000000"/>
      </w:rPr>
    </w:lvl>
  </w:abstractNum>
  <w:abstractNum w:abstractNumId="6">
    <w:nsid w:val="3103C217"/>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7">
    <w:nsid w:val="3310243C"/>
    <w:multiLevelType w:val="hybridMultilevel"/>
    <w:tmpl w:val="FFFFFFFF"/>
    <w:lvl w:ilvl="0" w:tplc="D1B6CEB4">
      <w:start w:val="1"/>
      <w:numFmt w:val="decimal"/>
      <w:lvlText w:val="%1."/>
      <w:lvlJc w:val="left"/>
      <w:pPr>
        <w:ind w:left="792" w:hanging="360"/>
      </w:pPr>
      <w:rPr>
        <w:color w:val="000000"/>
      </w:rPr>
    </w:lvl>
    <w:lvl w:ilvl="1" w:tplc="04190019">
      <w:start w:val="1"/>
      <w:numFmt w:val="lowerLetter"/>
      <w:lvlText w:val="%2."/>
      <w:lvlJc w:val="left"/>
      <w:pPr>
        <w:ind w:left="1512" w:hanging="360"/>
      </w:pPr>
      <w:rPr>
        <w:color w:val="000000"/>
      </w:rPr>
    </w:lvl>
    <w:lvl w:ilvl="2" w:tplc="0419001B">
      <w:start w:val="1"/>
      <w:numFmt w:val="lowerRoman"/>
      <w:lvlText w:val="%3."/>
      <w:lvlJc w:val="right"/>
      <w:pPr>
        <w:ind w:left="2232" w:hanging="168"/>
      </w:pPr>
      <w:rPr>
        <w:color w:val="000000"/>
      </w:rPr>
    </w:lvl>
    <w:lvl w:ilvl="3" w:tplc="D1B6CEB4">
      <w:start w:val="1"/>
      <w:numFmt w:val="decimal"/>
      <w:lvlText w:val="%4."/>
      <w:lvlJc w:val="left"/>
      <w:pPr>
        <w:ind w:left="2952" w:hanging="360"/>
      </w:pPr>
      <w:rPr>
        <w:color w:val="000000"/>
      </w:rPr>
    </w:lvl>
    <w:lvl w:ilvl="4" w:tplc="04190019">
      <w:start w:val="1"/>
      <w:numFmt w:val="lowerLetter"/>
      <w:lvlText w:val="%5."/>
      <w:lvlJc w:val="left"/>
      <w:pPr>
        <w:ind w:left="3672" w:hanging="360"/>
      </w:pPr>
      <w:rPr>
        <w:color w:val="000000"/>
      </w:rPr>
    </w:lvl>
    <w:lvl w:ilvl="5" w:tplc="0419001B">
      <w:start w:val="1"/>
      <w:numFmt w:val="lowerRoman"/>
      <w:lvlText w:val="%6."/>
      <w:lvlJc w:val="right"/>
      <w:pPr>
        <w:ind w:left="4392" w:hanging="168"/>
      </w:pPr>
      <w:rPr>
        <w:color w:val="000000"/>
      </w:rPr>
    </w:lvl>
    <w:lvl w:ilvl="6" w:tplc="D1B6CEB4">
      <w:start w:val="1"/>
      <w:numFmt w:val="decimal"/>
      <w:lvlText w:val="%7."/>
      <w:lvlJc w:val="left"/>
      <w:pPr>
        <w:ind w:left="5112" w:hanging="360"/>
      </w:pPr>
      <w:rPr>
        <w:color w:val="000000"/>
      </w:rPr>
    </w:lvl>
    <w:lvl w:ilvl="7" w:tplc="04190019">
      <w:start w:val="1"/>
      <w:numFmt w:val="lowerLetter"/>
      <w:lvlText w:val="%8."/>
      <w:lvlJc w:val="left"/>
      <w:pPr>
        <w:ind w:left="5832" w:hanging="360"/>
      </w:pPr>
      <w:rPr>
        <w:color w:val="000000"/>
      </w:rPr>
    </w:lvl>
    <w:lvl w:ilvl="8" w:tplc="0419001B">
      <w:start w:val="1"/>
      <w:numFmt w:val="lowerRoman"/>
      <w:lvlText w:val="%9."/>
      <w:lvlJc w:val="right"/>
      <w:pPr>
        <w:ind w:left="6552" w:hanging="168"/>
      </w:pPr>
      <w:rPr>
        <w:color w:val="000000"/>
      </w:rPr>
    </w:lvl>
  </w:abstractNum>
  <w:abstractNum w:abstractNumId="8">
    <w:nsid w:val="447961C2"/>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9">
    <w:nsid w:val="449F438D"/>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1">
    <w:nsid w:val="54211D01"/>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2">
    <w:nsid w:val="56ECB071"/>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3">
    <w:nsid w:val="57467C44"/>
    <w:multiLevelType w:val="hybridMultilevel"/>
    <w:tmpl w:val="FFFFFFFF"/>
    <w:lvl w:ilvl="0" w:tplc="D1B6CEB4">
      <w:start w:val="1"/>
      <w:numFmt w:val="decimal"/>
      <w:lvlText w:val="%1)"/>
      <w:lvlJc w:val="left"/>
      <w:pPr>
        <w:ind w:left="935" w:hanging="503"/>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4">
    <w:nsid w:val="6ADE1431"/>
    <w:multiLevelType w:val="multilevel"/>
    <w:tmpl w:val="FFFFFFFF"/>
    <w:lvl w:ilvl="0">
      <w:start w:val="1"/>
      <w:numFmt w:val="decimal"/>
      <w:lvlText w:val="%1."/>
      <w:lvlJc w:val="left"/>
      <w:pPr>
        <w:ind w:left="360" w:firstLine="72"/>
      </w:pPr>
      <w:rPr>
        <w:color w:val="000000"/>
        <w:sz w:val="28"/>
        <w:szCs w:val="28"/>
      </w:rPr>
    </w:lvl>
    <w:lvl w:ilvl="1">
      <w:start w:val="1"/>
      <w:numFmt w:val="decimal"/>
      <w:lvlText w:val="%1.%2."/>
      <w:lvlJc w:val="left"/>
      <w:pPr>
        <w:ind w:left="792" w:hanging="432"/>
      </w:pPr>
      <w:rPr>
        <w:color w:val="000000"/>
        <w:sz w:val="22"/>
        <w:szCs w:val="22"/>
      </w:rPr>
    </w:lvl>
    <w:lvl w:ilvl="2">
      <w:start w:val="1"/>
      <w:numFmt w:val="decimal"/>
      <w:lvlText w:val="%1.%2.%3."/>
      <w:lvlJc w:val="left"/>
      <w:pPr>
        <w:ind w:left="1224" w:hanging="504"/>
      </w:pPr>
      <w:rPr>
        <w:color w:val="000000"/>
        <w:sz w:val="22"/>
        <w:szCs w:val="22"/>
      </w:rPr>
    </w:lvl>
    <w:lvl w:ilvl="3">
      <w:start w:val="1"/>
      <w:numFmt w:val="decimal"/>
      <w:lvlText w:val="%1.%2.%3.%4."/>
      <w:lvlJc w:val="left"/>
      <w:pPr>
        <w:ind w:left="1728" w:hanging="648"/>
      </w:pPr>
      <w:rPr>
        <w:color w:val="000000"/>
        <w:sz w:val="22"/>
        <w:szCs w:val="22"/>
      </w:rPr>
    </w:lvl>
    <w:lvl w:ilvl="4">
      <w:start w:val="1"/>
      <w:numFmt w:val="decimal"/>
      <w:lvlText w:val="%1.%2.%3.%4.%5."/>
      <w:lvlJc w:val="left"/>
      <w:pPr>
        <w:ind w:left="2232" w:hanging="792"/>
      </w:pPr>
      <w:rPr>
        <w:color w:val="000000"/>
        <w:sz w:val="22"/>
        <w:szCs w:val="22"/>
      </w:rPr>
    </w:lvl>
    <w:lvl w:ilvl="5">
      <w:start w:val="1"/>
      <w:numFmt w:val="decimal"/>
      <w:lvlText w:val="%1.%2.%3.%4.%5.%6."/>
      <w:lvlJc w:val="left"/>
      <w:pPr>
        <w:ind w:left="2736" w:hanging="936"/>
      </w:pPr>
      <w:rPr>
        <w:color w:val="000000"/>
        <w:sz w:val="22"/>
        <w:szCs w:val="22"/>
      </w:rPr>
    </w:lvl>
    <w:lvl w:ilvl="6">
      <w:start w:val="1"/>
      <w:numFmt w:val="decimal"/>
      <w:lvlText w:val="%1.%2.%3.%4.%5.%6.%7."/>
      <w:lvlJc w:val="left"/>
      <w:pPr>
        <w:ind w:left="3240" w:hanging="1080"/>
      </w:pPr>
      <w:rPr>
        <w:color w:val="000000"/>
        <w:sz w:val="22"/>
        <w:szCs w:val="22"/>
      </w:rPr>
    </w:lvl>
    <w:lvl w:ilvl="7">
      <w:start w:val="1"/>
      <w:numFmt w:val="decimal"/>
      <w:lvlText w:val="%1.%2.%3.%4.%5.%6.%7.%8."/>
      <w:lvlJc w:val="left"/>
      <w:pPr>
        <w:ind w:left="3744" w:hanging="1224"/>
      </w:pPr>
      <w:rPr>
        <w:color w:val="000000"/>
        <w:sz w:val="22"/>
        <w:szCs w:val="22"/>
      </w:rPr>
    </w:lvl>
    <w:lvl w:ilvl="8">
      <w:start w:val="1"/>
      <w:numFmt w:val="decimal"/>
      <w:lvlText w:val="%1.%2.%3.%4.%5.%6.%7.%8.%9."/>
      <w:lvlJc w:val="left"/>
      <w:pPr>
        <w:ind w:left="4320" w:hanging="1440"/>
      </w:pPr>
      <w:rPr>
        <w:color w:val="000000"/>
        <w:sz w:val="22"/>
        <w:szCs w:val="22"/>
      </w:rPr>
    </w:lvl>
  </w:abstractNum>
  <w:abstractNum w:abstractNumId="15">
    <w:nsid w:val="713D4A90"/>
    <w:multiLevelType w:val="hybridMultilevel"/>
    <w:tmpl w:val="FFFFFFFF"/>
    <w:lvl w:ilvl="0" w:tplc="D1B6CEB4">
      <w:start w:val="1"/>
      <w:numFmt w:val="decimal"/>
      <w:lvlText w:val="%1)"/>
      <w:lvlJc w:val="left"/>
      <w:pPr>
        <w:ind w:left="786" w:hanging="360"/>
      </w:pPr>
      <w:rPr>
        <w:color w:val="000000"/>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6">
    <w:nsid w:val="713F19DB"/>
    <w:multiLevelType w:val="multilevel"/>
    <w:tmpl w:val="FFFFFFFF"/>
    <w:lvl w:ilvl="0">
      <w:start w:val="1"/>
      <w:numFmt w:val="decimal"/>
      <w:lvlText w:val="%1."/>
      <w:lvlJc w:val="left"/>
      <w:pPr>
        <w:ind w:left="360" w:hanging="360"/>
      </w:pPr>
      <w:rPr>
        <w:color w:val="000000"/>
        <w:sz w:val="28"/>
        <w:szCs w:val="28"/>
      </w:rPr>
    </w:lvl>
    <w:lvl w:ilvl="1">
      <w:start w:val="1"/>
      <w:numFmt w:val="decimal"/>
      <w:lvlText w:val="%1.%2."/>
      <w:lvlJc w:val="left"/>
      <w:pPr>
        <w:ind w:left="792" w:hanging="432"/>
      </w:pPr>
      <w:rPr>
        <w:color w:val="000000"/>
        <w:sz w:val="22"/>
        <w:szCs w:val="22"/>
      </w:rPr>
    </w:lvl>
    <w:lvl w:ilvl="2">
      <w:start w:val="1"/>
      <w:numFmt w:val="decimal"/>
      <w:lvlText w:val="%1.%2.%3."/>
      <w:lvlJc w:val="left"/>
      <w:pPr>
        <w:ind w:left="1224" w:hanging="504"/>
      </w:pPr>
      <w:rPr>
        <w:color w:val="000000"/>
        <w:sz w:val="22"/>
        <w:szCs w:val="22"/>
      </w:rPr>
    </w:lvl>
    <w:lvl w:ilvl="3">
      <w:start w:val="1"/>
      <w:numFmt w:val="decimal"/>
      <w:lvlText w:val="%1.%2.%3.%4."/>
      <w:lvlJc w:val="left"/>
      <w:pPr>
        <w:ind w:left="1728" w:hanging="648"/>
      </w:pPr>
      <w:rPr>
        <w:color w:val="000000"/>
        <w:sz w:val="22"/>
        <w:szCs w:val="22"/>
      </w:rPr>
    </w:lvl>
    <w:lvl w:ilvl="4">
      <w:start w:val="1"/>
      <w:numFmt w:val="decimal"/>
      <w:lvlText w:val="%1.%2.%3.%4.%5."/>
      <w:lvlJc w:val="left"/>
      <w:pPr>
        <w:ind w:left="2232" w:hanging="792"/>
      </w:pPr>
      <w:rPr>
        <w:color w:val="000000"/>
        <w:sz w:val="22"/>
        <w:szCs w:val="22"/>
      </w:rPr>
    </w:lvl>
    <w:lvl w:ilvl="5">
      <w:start w:val="1"/>
      <w:numFmt w:val="decimal"/>
      <w:lvlText w:val="%1.%2.%3.%4.%5.%6."/>
      <w:lvlJc w:val="left"/>
      <w:pPr>
        <w:ind w:left="2736" w:hanging="936"/>
      </w:pPr>
      <w:rPr>
        <w:color w:val="000000"/>
        <w:sz w:val="22"/>
        <w:szCs w:val="22"/>
      </w:rPr>
    </w:lvl>
    <w:lvl w:ilvl="6">
      <w:start w:val="1"/>
      <w:numFmt w:val="decimal"/>
      <w:lvlText w:val="%1.%2.%3.%4.%5.%6.%7."/>
      <w:lvlJc w:val="left"/>
      <w:pPr>
        <w:ind w:left="3240" w:hanging="1080"/>
      </w:pPr>
      <w:rPr>
        <w:color w:val="000000"/>
        <w:sz w:val="22"/>
        <w:szCs w:val="22"/>
      </w:rPr>
    </w:lvl>
    <w:lvl w:ilvl="7">
      <w:start w:val="1"/>
      <w:numFmt w:val="decimal"/>
      <w:lvlText w:val="%1.%2.%3.%4.%5.%6.%7.%8."/>
      <w:lvlJc w:val="left"/>
      <w:pPr>
        <w:ind w:left="3744" w:hanging="1224"/>
      </w:pPr>
      <w:rPr>
        <w:color w:val="000000"/>
        <w:sz w:val="22"/>
        <w:szCs w:val="22"/>
      </w:rPr>
    </w:lvl>
    <w:lvl w:ilvl="8">
      <w:start w:val="1"/>
      <w:numFmt w:val="decimal"/>
      <w:lvlText w:val="%1.%2.%3.%4.%5.%6.%7.%8.%9."/>
      <w:lvlJc w:val="left"/>
      <w:pPr>
        <w:ind w:left="4320" w:hanging="1440"/>
      </w:pPr>
      <w:rPr>
        <w:color w:val="000000"/>
        <w:sz w:val="22"/>
        <w:szCs w:val="22"/>
      </w:rPr>
    </w:lvl>
  </w:abstractNum>
  <w:abstractNum w:abstractNumId="17">
    <w:nsid w:val="7F431C33"/>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7"/>
  </w:num>
  <w:num w:numId="2">
    <w:abstractNumId w:val="0"/>
  </w:num>
  <w:num w:numId="3">
    <w:abstractNumId w:val="0"/>
  </w:num>
  <w:num w:numId="4">
    <w:abstractNumId w:val="0"/>
  </w:num>
  <w:num w:numId="5">
    <w:abstractNumId w:val="9"/>
  </w:num>
  <w:num w:numId="6">
    <w:abstractNumId w:val="15"/>
  </w:num>
  <w:num w:numId="7">
    <w:abstractNumId w:val="16"/>
  </w:num>
  <w:num w:numId="8">
    <w:abstractNumId w:val="14"/>
  </w:num>
  <w:num w:numId="9">
    <w:abstractNumId w:val="2"/>
  </w:num>
  <w:num w:numId="10">
    <w:abstractNumId w:val="6"/>
  </w:num>
  <w:num w:numId="11">
    <w:abstractNumId w:val="12"/>
  </w:num>
  <w:num w:numId="12">
    <w:abstractNumId w:val="17"/>
  </w:num>
  <w:num w:numId="13">
    <w:abstractNumId w:val="1"/>
  </w:num>
  <w:num w:numId="14">
    <w:abstractNumId w:val="11"/>
  </w:num>
  <w:num w:numId="15">
    <w:abstractNumId w:val="13"/>
  </w:num>
  <w:num w:numId="16">
    <w:abstractNumId w:val="8"/>
  </w:num>
  <w:num w:numId="17">
    <w:abstractNumId w:val="4"/>
  </w:num>
  <w:num w:numId="18">
    <w:abstractNumId w:val="5"/>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4A1"/>
    <w:rsid w:val="00255ABF"/>
    <w:rsid w:val="002F54A1"/>
    <w:rsid w:val="008D6A8C"/>
    <w:rsid w:val="00AC504D"/>
    <w:rsid w:val="00E53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before="120"/>
      <w:ind w:firstLine="849"/>
    </w:pPr>
    <w:rPr>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before="0"/>
      <w:ind w:firstLine="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before="0"/>
      <w:ind w:firstLine="0"/>
      <w:jc w:val="both"/>
    </w:pPr>
    <w:rPr>
      <w:sz w:val="28"/>
      <w:szCs w:val="28"/>
    </w:rPr>
  </w:style>
  <w:style w:type="paragraph" w:customStyle="1" w:styleId="cececee1e1e1fbfbfbf7f7f7edededfbfbfbe9e9e913efefeff2f2f2">
    <w:name w:val="Оcececeбe1e1e1ыfbfbfbчf7f7f7нedededыfbfbfbйe9e9e9 + 13 пefefefтf2f2f2"/>
    <w:basedOn w:val="a"/>
    <w:uiPriority w:val="99"/>
    <w:pPr>
      <w:spacing w:before="0"/>
      <w:ind w:left="5664" w:firstLine="0"/>
    </w:pPr>
    <w:rPr>
      <w:sz w:val="28"/>
      <w:szCs w:val="28"/>
    </w:rPr>
  </w:style>
  <w:style w:type="paragraph" w:customStyle="1" w:styleId="c7c7c7ededede0e0e0eaeaea">
    <w:name w:val="Зc7c7c7нedededаe0e0e0кeaeaea"/>
    <w:basedOn w:val="a"/>
    <w:uiPriority w:val="99"/>
    <w:pPr>
      <w:spacing w:before="0" w:after="144"/>
      <w:ind w:firstLine="0"/>
    </w:pPr>
    <w:rPr>
      <w:rFonts w:ascii="Verdana" w:hAnsi="Verdana" w:cs="Verdana"/>
      <w:sz w:val="20"/>
      <w:szCs w:val="20"/>
    </w:rPr>
  </w:style>
  <w:style w:type="paragraph" w:styleId="a3">
    <w:name w:val="header"/>
    <w:basedOn w:val="a"/>
    <w:link w:val="a4"/>
    <w:uiPriority w:val="99"/>
    <w:pPr>
      <w:spacing w:before="0"/>
      <w:ind w:firstLine="0"/>
    </w:pPr>
  </w:style>
  <w:style w:type="paragraph" w:styleId="a5">
    <w:name w:val="footer"/>
    <w:basedOn w:val="a"/>
    <w:link w:val="a6"/>
    <w:uiPriority w:val="99"/>
    <w:pPr>
      <w:spacing w:before="0"/>
      <w:ind w:firstLine="0"/>
    </w:pPr>
  </w:style>
  <w:style w:type="character" w:customStyle="1" w:styleId="lblinfoform1">
    <w:name w:val="lblinfoform1"/>
    <w:basedOn w:val="a0"/>
    <w:uiPriority w:val="99"/>
    <w:rPr>
      <w:rFonts w:ascii="Arial" w:hAnsi="Arial" w:cs="Arial"/>
      <w:b/>
      <w:bCs/>
      <w:color w:val="3E6D9C"/>
      <w:sz w:val="16"/>
      <w:szCs w:val="16"/>
    </w:rPr>
  </w:style>
  <w:style w:type="character" w:customStyle="1" w:styleId="1">
    <w:name w:val="Номер строки1"/>
    <w:basedOn w:val="a0"/>
    <w:uiPriority w:val="99"/>
    <w:rPr>
      <w:color w:val="000000"/>
      <w:sz w:val="28"/>
      <w:szCs w:val="28"/>
    </w:rPr>
  </w:style>
  <w:style w:type="character" w:styleId="a7">
    <w:name w:val="Hyperlink"/>
    <w:basedOn w:val="a0"/>
    <w:uiPriority w:val="99"/>
    <w:rPr>
      <w:color w:val="0000FF"/>
      <w:sz w:val="28"/>
      <w:szCs w:val="28"/>
      <w:u w:val="single"/>
    </w:rPr>
  </w:style>
  <w:style w:type="character" w:customStyle="1" w:styleId="a6">
    <w:name w:val="Нижний колонтитул Знак"/>
    <w:basedOn w:val="a0"/>
    <w:link w:val="a5"/>
    <w:uiPriority w:val="99"/>
    <w:rPr>
      <w:rFonts w:ascii="Calibri" w:hAnsi="Calibri" w:cs="Calibri"/>
      <w:color w:val="000000"/>
    </w:rPr>
  </w:style>
  <w:style w:type="character" w:customStyle="1" w:styleId="a4">
    <w:name w:val="Верхний колонтитул Знак"/>
    <w:basedOn w:val="a0"/>
    <w:link w:val="a3"/>
    <w:uiPriority w:val="99"/>
    <w:rPr>
      <w:rFonts w:ascii="Calibr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before="120"/>
      <w:ind w:firstLine="849"/>
    </w:pPr>
    <w:rPr>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before="0"/>
      <w:ind w:firstLine="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before="0"/>
      <w:ind w:firstLine="0"/>
      <w:jc w:val="both"/>
    </w:pPr>
    <w:rPr>
      <w:sz w:val="28"/>
      <w:szCs w:val="28"/>
    </w:rPr>
  </w:style>
  <w:style w:type="paragraph" w:customStyle="1" w:styleId="cececee1e1e1fbfbfbf7f7f7edededfbfbfbe9e9e913efefeff2f2f2">
    <w:name w:val="Оcececeбe1e1e1ыfbfbfbчf7f7f7нedededыfbfbfbйe9e9e9 + 13 пefefefтf2f2f2"/>
    <w:basedOn w:val="a"/>
    <w:uiPriority w:val="99"/>
    <w:pPr>
      <w:spacing w:before="0"/>
      <w:ind w:left="5664" w:firstLine="0"/>
    </w:pPr>
    <w:rPr>
      <w:sz w:val="28"/>
      <w:szCs w:val="28"/>
    </w:rPr>
  </w:style>
  <w:style w:type="paragraph" w:customStyle="1" w:styleId="c7c7c7ededede0e0e0eaeaea">
    <w:name w:val="Зc7c7c7нedededаe0e0e0кeaeaea"/>
    <w:basedOn w:val="a"/>
    <w:uiPriority w:val="99"/>
    <w:pPr>
      <w:spacing w:before="0" w:after="144"/>
      <w:ind w:firstLine="0"/>
    </w:pPr>
    <w:rPr>
      <w:rFonts w:ascii="Verdana" w:hAnsi="Verdana" w:cs="Verdana"/>
      <w:sz w:val="20"/>
      <w:szCs w:val="20"/>
    </w:rPr>
  </w:style>
  <w:style w:type="paragraph" w:styleId="a3">
    <w:name w:val="header"/>
    <w:basedOn w:val="a"/>
    <w:link w:val="a4"/>
    <w:uiPriority w:val="99"/>
    <w:pPr>
      <w:spacing w:before="0"/>
      <w:ind w:firstLine="0"/>
    </w:pPr>
  </w:style>
  <w:style w:type="paragraph" w:styleId="a5">
    <w:name w:val="footer"/>
    <w:basedOn w:val="a"/>
    <w:link w:val="a6"/>
    <w:uiPriority w:val="99"/>
    <w:pPr>
      <w:spacing w:before="0"/>
      <w:ind w:firstLine="0"/>
    </w:pPr>
  </w:style>
  <w:style w:type="character" w:customStyle="1" w:styleId="lblinfoform1">
    <w:name w:val="lblinfoform1"/>
    <w:basedOn w:val="a0"/>
    <w:uiPriority w:val="99"/>
    <w:rPr>
      <w:rFonts w:ascii="Arial" w:hAnsi="Arial" w:cs="Arial"/>
      <w:b/>
      <w:bCs/>
      <w:color w:val="3E6D9C"/>
      <w:sz w:val="16"/>
      <w:szCs w:val="16"/>
    </w:rPr>
  </w:style>
  <w:style w:type="character" w:customStyle="1" w:styleId="1">
    <w:name w:val="Номер строки1"/>
    <w:basedOn w:val="a0"/>
    <w:uiPriority w:val="99"/>
    <w:rPr>
      <w:color w:val="000000"/>
      <w:sz w:val="28"/>
      <w:szCs w:val="28"/>
    </w:rPr>
  </w:style>
  <w:style w:type="character" w:styleId="a7">
    <w:name w:val="Hyperlink"/>
    <w:basedOn w:val="a0"/>
    <w:uiPriority w:val="99"/>
    <w:rPr>
      <w:color w:val="0000FF"/>
      <w:sz w:val="28"/>
      <w:szCs w:val="28"/>
      <w:u w:val="single"/>
    </w:rPr>
  </w:style>
  <w:style w:type="character" w:customStyle="1" w:styleId="a6">
    <w:name w:val="Нижний колонтитул Знак"/>
    <w:basedOn w:val="a0"/>
    <w:link w:val="a5"/>
    <w:uiPriority w:val="99"/>
    <w:rPr>
      <w:rFonts w:ascii="Calibri" w:hAnsi="Calibri" w:cs="Calibri"/>
      <w:color w:val="000000"/>
    </w:rPr>
  </w:style>
  <w:style w:type="character" w:customStyle="1" w:styleId="a4">
    <w:name w:val="Верхний колонтитул Знак"/>
    <w:basedOn w:val="a0"/>
    <w:link w:val="a3"/>
    <w:uiPriority w:val="99"/>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2802</Words>
  <Characters>15976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User</cp:lastModifiedBy>
  <cp:revision>2</cp:revision>
  <dcterms:created xsi:type="dcterms:W3CDTF">2020-06-15T19:26:00Z</dcterms:created>
  <dcterms:modified xsi:type="dcterms:W3CDTF">2020-06-15T19:26:00Z</dcterms:modified>
</cp:coreProperties>
</file>