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ind w:firstLine="709"/>
        <w:jc w:val="right"/>
        <w:rPr>
          <w:rFonts w:hint="default" w:ascii="Times New Roman" w:hAnsi="Times New Roman" w:cs="Times New Roman"/>
          <w:b/>
          <w:bCs/>
          <w:i/>
        </w:rPr>
      </w:pPr>
      <w:r>
        <w:rPr>
          <w:rFonts w:hint="default" w:ascii="Times New Roman" w:hAnsi="Times New Roman" w:cs="Times New Roman"/>
          <w:b/>
          <w:bCs/>
          <w:i/>
        </w:rPr>
        <w:t>Форма №1</w:t>
      </w:r>
    </w:p>
    <w:p>
      <w:pPr>
        <w:ind w:firstLine="709"/>
        <w:rPr>
          <w:rFonts w:hint="default" w:ascii="Times New Roman" w:hAnsi="Times New Roman" w:cs="Times New Roman"/>
          <w:i/>
        </w:rPr>
      </w:pPr>
    </w:p>
    <w:p>
      <w:pPr>
        <w:keepNext/>
        <w:ind w:firstLine="709"/>
        <w:jc w:val="center"/>
        <w:outlineLvl w:val="3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</w:rPr>
        <w:t>Первая часть заявки участника закупки</w:t>
      </w:r>
      <w:r>
        <w:rPr>
          <w:rFonts w:hint="default" w:ascii="Times New Roman" w:hAnsi="Times New Roman" w:cs="Times New Roman"/>
        </w:rPr>
        <w:t xml:space="preserve"> </w:t>
      </w:r>
    </w:p>
    <w:p>
      <w:pPr>
        <w:keepNext/>
        <w:ind w:firstLine="709"/>
        <w:jc w:val="center"/>
        <w:outlineLvl w:val="3"/>
        <w:rPr>
          <w:rFonts w:hint="default" w:ascii="Times New Roman" w:hAnsi="Times New Roman" w:cs="Times New Roman"/>
        </w:rPr>
      </w:pPr>
    </w:p>
    <w:p>
      <w:pPr>
        <w:ind w:firstLine="709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1. Изучив аукционную документацию на право заключения договора на выполнение ремонтных работ по устройству полимерного наливного пола на объекте, расположенном </w:t>
      </w:r>
      <w:r>
        <w:rPr>
          <w:rFonts w:hint="default" w:ascii="Times New Roman" w:hAnsi="Times New Roman" w:cs="Times New Roman"/>
          <w:bCs/>
        </w:rPr>
        <w:t>п</w:t>
      </w:r>
      <w:r>
        <w:rPr>
          <w:rFonts w:hint="default" w:ascii="Times New Roman" w:hAnsi="Times New Roman" w:cs="Times New Roman"/>
        </w:rPr>
        <w:t xml:space="preserve">о адресу: г. Москва, Дмитровское шоссе, д. 110, стр.1 мы выражаем свое желание участвовать в аукционе на условиях, установленных в аукционной документации, и направляем техническое предложение участника закупки. </w:t>
      </w:r>
    </w:p>
    <w:p>
      <w:pPr>
        <w:ind w:firstLine="709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2. Мы согласны </w:t>
      </w:r>
      <w:r>
        <w:rPr>
          <w:rFonts w:hint="default" w:ascii="Times New Roman" w:hAnsi="Times New Roman" w:cs="Times New Roman"/>
          <w:bCs/>
        </w:rPr>
        <w:t>выполнить работы</w:t>
      </w:r>
      <w:r>
        <w:rPr>
          <w:rFonts w:hint="default" w:ascii="Times New Roman" w:hAnsi="Times New Roman" w:cs="Times New Roman"/>
        </w:rPr>
        <w:t xml:space="preserve"> в соответствии с требованиями аукциона на условиях, предусмотренных документацией по проведению аукциона на право заключения договора на выполнение ремонтных работ по устройству полимерного наливного пола на объекте, расположенном </w:t>
      </w:r>
      <w:r>
        <w:rPr>
          <w:rFonts w:hint="default" w:ascii="Times New Roman" w:hAnsi="Times New Roman" w:cs="Times New Roman"/>
          <w:bCs/>
        </w:rPr>
        <w:t>п</w:t>
      </w:r>
      <w:r>
        <w:rPr>
          <w:rFonts w:hint="default" w:ascii="Times New Roman" w:hAnsi="Times New Roman" w:cs="Times New Roman"/>
        </w:rPr>
        <w:t>о адресу: г. Москва, Дмитровское шоссе, д. 110, стр.1.</w:t>
      </w:r>
    </w:p>
    <w:p>
      <w:pPr>
        <w:ind w:firstLine="709"/>
        <w:jc w:val="both"/>
        <w:rPr>
          <w:rFonts w:hint="default" w:ascii="Times New Roman" w:hAnsi="Times New Roman" w:cs="Times New Roman"/>
        </w:rPr>
      </w:pPr>
    </w:p>
    <w:p>
      <w:pPr>
        <w:spacing w:after="120"/>
        <w:jc w:val="center"/>
        <w:rPr>
          <w:rFonts w:hint="default" w:ascii="Times New Roman" w:hAnsi="Times New Roman" w:cs="Times New Roman"/>
          <w:b/>
        </w:rPr>
      </w:pPr>
      <w:r>
        <w:rPr>
          <w:rFonts w:hint="default" w:ascii="Times New Roman" w:hAnsi="Times New Roman" w:cs="Times New Roman"/>
          <w:b/>
        </w:rPr>
        <w:t>Техническое предложение участника закупки</w:t>
      </w:r>
    </w:p>
    <w:p>
      <w:pPr>
        <w:numPr>
          <w:ilvl w:val="0"/>
          <w:numId w:val="1"/>
        </w:numPr>
        <w:spacing w:after="120"/>
        <w:jc w:val="left"/>
        <w:rPr>
          <w:rFonts w:hint="default" w:ascii="Times New Roman" w:hAnsi="Times New Roman" w:cs="Times New Roman"/>
          <w:b/>
          <w:lang w:val="ru-RU"/>
        </w:rPr>
      </w:pPr>
      <w:r>
        <w:rPr>
          <w:rFonts w:hint="default" w:ascii="Times New Roman" w:hAnsi="Times New Roman" w:cs="Times New Roman"/>
          <w:b/>
          <w:bCs w:val="0"/>
          <w:lang w:val="ru-RU"/>
        </w:rPr>
        <w:t xml:space="preserve">Наименование работ: </w:t>
      </w:r>
      <w:r>
        <w:rPr>
          <w:rFonts w:hint="default" w:ascii="Times New Roman" w:hAnsi="Times New Roman" w:cs="Times New Roman"/>
        </w:rPr>
        <w:t>выполнение ремонтных работ по устройству полимерного наливного пола</w:t>
      </w:r>
      <w:r>
        <w:rPr>
          <w:rFonts w:hint="default" w:ascii="Times New Roman" w:hAnsi="Times New Roman" w:cs="Times New Roman"/>
          <w:lang w:val="ru-RU"/>
        </w:rPr>
        <w:t>.</w:t>
      </w:r>
    </w:p>
    <w:p>
      <w:pPr>
        <w:numPr>
          <w:ilvl w:val="0"/>
          <w:numId w:val="1"/>
        </w:numPr>
        <w:spacing w:after="120"/>
        <w:jc w:val="left"/>
        <w:rPr>
          <w:rFonts w:hint="default" w:ascii="Times New Roman" w:hAnsi="Times New Roman" w:cs="Times New Roman"/>
          <w:b/>
          <w:lang w:val="ru-RU"/>
        </w:rPr>
      </w:pPr>
      <w:r>
        <w:rPr>
          <w:rFonts w:hint="default" w:ascii="Times New Roman" w:hAnsi="Times New Roman" w:cs="Times New Roman"/>
          <w:b/>
          <w:bCs/>
          <w:lang w:val="ru-RU"/>
        </w:rPr>
        <w:t>Перечень и объемы выполнения работ</w:t>
      </w:r>
      <w:r>
        <w:rPr>
          <w:rFonts w:hint="default" w:ascii="Times New Roman" w:hAnsi="Times New Roman" w:cs="Times New Roman"/>
          <w:lang w:val="ru-RU"/>
        </w:rPr>
        <w:t xml:space="preserve"> указаны в локальной смете.</w:t>
      </w:r>
    </w:p>
    <w:p>
      <w:pPr>
        <w:numPr>
          <w:numId w:val="0"/>
        </w:numPr>
        <w:spacing w:after="120"/>
        <w:jc w:val="left"/>
        <w:rPr>
          <w:rFonts w:hint="default" w:ascii="Times New Roman" w:hAnsi="Times New Roman" w:eastAsia="Times New Roman" w:cs="Times New Roman"/>
          <w:sz w:val="24"/>
          <w:szCs w:val="24"/>
          <w:lang w:val="ru" w:eastAsia="ru" w:bidi="ar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val="ru" w:eastAsia="ru" w:bidi="ar"/>
        </w:rPr>
        <w:t>Заказчик определяет Подрядчику объемы работ и раздел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ru" w:bidi="ar"/>
        </w:rPr>
        <w:t>яет</w:t>
      </w:r>
      <w:r>
        <w:rPr>
          <w:rFonts w:hint="default" w:ascii="Times New Roman" w:hAnsi="Times New Roman" w:eastAsia="Times New Roman" w:cs="Times New Roman"/>
          <w:sz w:val="24"/>
          <w:szCs w:val="24"/>
          <w:lang w:val="ru" w:eastAsia="ru" w:bidi="ar"/>
        </w:rPr>
        <w:t xml:space="preserve"> на захватки, указанные в локальной смете. Захватки располага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ru" w:bidi="ar"/>
        </w:rPr>
        <w:t>ются</w:t>
      </w:r>
      <w:r>
        <w:rPr>
          <w:rFonts w:hint="default" w:ascii="Times New Roman" w:hAnsi="Times New Roman" w:eastAsia="Times New Roman" w:cs="Times New Roman"/>
          <w:sz w:val="24"/>
          <w:szCs w:val="24"/>
          <w:lang w:val="ru" w:eastAsia="ru" w:bidi="ar"/>
        </w:rPr>
        <w:t xml:space="preserve"> на разных объектах на территории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ru" w:bidi="ar"/>
        </w:rPr>
        <w:t xml:space="preserve"> </w:t>
      </w:r>
      <w:r>
        <w:rPr>
          <w:rFonts w:hint="default" w:ascii="Times New Roman" w:hAnsi="Times New Roman" w:eastAsia="Times New Roman" w:cs="Times New Roman"/>
          <w:sz w:val="24"/>
          <w:szCs w:val="24"/>
          <w:lang w:val="ru" w:eastAsia="ru" w:bidi="ar"/>
        </w:rPr>
        <w:t>по адресу: г. Москва, Дмитровское шоссе, д. 110, стр. 1.</w:t>
      </w:r>
    </w:p>
    <w:p>
      <w:pPr>
        <w:numPr>
          <w:ilvl w:val="0"/>
          <w:numId w:val="1"/>
        </w:numPr>
        <w:spacing w:after="120"/>
        <w:jc w:val="left"/>
        <w:rPr>
          <w:rFonts w:hint="default" w:ascii="Times New Roman" w:hAnsi="Times New Roman" w:eastAsia="Times New Roman" w:cs="Times New Roman"/>
          <w:sz w:val="24"/>
          <w:szCs w:val="24"/>
          <w:lang w:val="ru-RU" w:eastAsia="ru" w:bidi="ar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 w:eastAsia="ru" w:bidi="ar"/>
        </w:rPr>
        <w:t>Место проведения работ: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ru" w:bidi="ar"/>
        </w:rPr>
        <w:t xml:space="preserve"> г. Москва, Дмитровское шоссе, д. 110, стр. 1</w:t>
      </w:r>
    </w:p>
    <w:p>
      <w:pPr>
        <w:numPr>
          <w:ilvl w:val="0"/>
          <w:numId w:val="1"/>
        </w:numPr>
        <w:spacing w:after="120"/>
        <w:jc w:val="left"/>
        <w:rPr>
          <w:rFonts w:hint="default" w:ascii="Times New Roman" w:hAnsi="Times New Roman" w:eastAsia="Times New Roman" w:cs="Times New Roman"/>
          <w:sz w:val="24"/>
          <w:szCs w:val="24"/>
          <w:lang w:val="ru-RU" w:eastAsia="ru" w:bidi="ar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 w:eastAsia="ru" w:bidi="ar"/>
        </w:rPr>
        <w:t>Дата начала выполнения работ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ru" w:bidi="ar"/>
        </w:rPr>
        <w:t xml:space="preserve"> с момента подписания акта о передаче фронта работ Подрядчику. Выполнение работ на каждом захватке осуществляется согласна акту передачи фронта работ.</w:t>
      </w:r>
    </w:p>
    <w:p>
      <w:pPr>
        <w:numPr>
          <w:ilvl w:val="0"/>
          <w:numId w:val="1"/>
        </w:numPr>
        <w:spacing w:after="120"/>
        <w:jc w:val="left"/>
        <w:rPr>
          <w:rFonts w:hint="default" w:ascii="Times New Roman" w:hAnsi="Times New Roman" w:eastAsia="Times New Roman" w:cs="Times New Roman"/>
          <w:sz w:val="24"/>
          <w:szCs w:val="24"/>
          <w:lang w:val="ru-RU" w:eastAsia="ru" w:bidi="ar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val="ru-RU" w:eastAsia="ru" w:bidi="ar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val="ru-RU" w:eastAsia="ru" w:bidi="ar"/>
        </w:rPr>
        <w:t>Срок выполнения работ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ru" w:bidi="ar"/>
        </w:rPr>
        <w:t xml:space="preserve"> на одном захватке 30 календарных дней. Общий срок окончания работ по договору с учетом простоя, связанным с перестановкой оборудования силами ПАО «НПО «Алмаз», 31 декабря 2020 г.</w:t>
      </w:r>
    </w:p>
    <w:p>
      <w:pPr>
        <w:numPr>
          <w:ilvl w:val="0"/>
          <w:numId w:val="1"/>
        </w:numPr>
        <w:spacing w:after="120"/>
        <w:jc w:val="left"/>
        <w:rPr>
          <w:rFonts w:hint="default" w:ascii="Times New Roman" w:hAnsi="Times New Roman" w:eastAsia="Times New Roman" w:cs="Times New Roman"/>
          <w:b/>
          <w:bCs/>
          <w:sz w:val="24"/>
          <w:szCs w:val="24"/>
          <w:u w:val="single"/>
          <w:lang w:val="ru-RU" w:eastAsia="ru" w:bidi="ar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u w:val="single"/>
          <w:lang w:val="ru-RU" w:eastAsia="ru" w:bidi="ar"/>
        </w:rPr>
        <w:t>Выполнение работ:</w:t>
      </w:r>
    </w:p>
    <w:p>
      <w:pPr>
        <w:keepNext w:val="0"/>
        <w:keepLines w:val="0"/>
        <w:widowControl/>
        <w:numPr>
          <w:ilvl w:val="-1"/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6.1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Подрядчик самостоятельно и за свой счет составляет схему заливки, выполняет работы по устройству бетонных полов, включая сопутствующие работы, согласно локальной смете в соответствии с нормативной документацией.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6.2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Наличие у рабочих удостоверения ПТМ (Пожарно-технического минимума) и соответствующих допусков на огневые работы – в случае проведения таких.</w:t>
      </w:r>
    </w:p>
    <w:p>
      <w:pPr>
        <w:keepNext w:val="0"/>
        <w:keepLines w:val="0"/>
        <w:widowControl/>
        <w:suppressLineNumbers w:val="0"/>
        <w:tabs>
          <w:tab w:val="left" w:pos="360"/>
        </w:tabs>
        <w:spacing w:before="0" w:beforeAutospacing="0" w:after="0" w:afterAutospacing="0"/>
        <w:ind w:right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Самостоятельное открытие ответственными представителями наряд-допусков на огневые работы в ПЧ.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6.3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Наличие удостоверений о допуске к работам с электрооборудованием. 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6.4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Заказчик имеет право проводить выборочно экспертное исследование поставленных материалов.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6.5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Проживание на территории режимного предприятия не допустимо.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6.6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Работы проводятся с 8:00 до 20:00 в календарные дни. 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6.7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Подрядчик доставля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ет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рабочих, необходимые материалы и инструмент ежедневно самостоятельно. Самостоятельно организовыва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работы, выполня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контроль за качеством выполнения работ. 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6.8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Выполнение работ и сроки согласовыва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ю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тся Подрядчиком с подразделениями Заказчика, в которых выполня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ю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тся работы и не меша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ют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основному производственному процессу предприятия. 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6.9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Подрядчик предостав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ляет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договор об утилизации отходов, содерж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ит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площадку строительства в чистоте и порядке, при возникновении мусора самостоятельно его утилизи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рует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. При вывозе мусора предоставл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яет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талоны по утилизации отходов.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6.10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Персонал, привлекаемый для выполнения работ по предмету аукциона,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имеет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гражданство РФ и име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необходимую квалификацию, а также про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ходит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соответствующую проверку в отделе режима Заказчика.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6.11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Работы выполняются с использованием материалов Подрядчика. Подрядчик располага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необходимыми материально-техническими средствами, инвентарем, экипировкой, снаряжением и другим необходимым оборудованием для выполнения работ по Договору.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6.12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Работы производятся в условиях действующего производства.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  <w:rPr>
          <w:color w:val="000000"/>
          <w:lang w:val="ru"/>
        </w:rPr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6.13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При сдаче работ предостав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ляет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акты освидетельствования скрытых работ, выполнение к</w:t>
      </w: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val="ru" w:eastAsia="zh-CN" w:bidi="ar"/>
        </w:rPr>
        <w:t>оторых невозможно проверить в момент сдачи здания в эксплуатацию.С приложениями: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right="0"/>
        <w:jc w:val="both"/>
        <w:outlineLvl w:val="0"/>
        <w:rPr>
          <w:color w:val="000000"/>
          <w:lang w:val="ru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val="ru" w:eastAsia="zh-CN" w:bidi="ar"/>
        </w:rPr>
        <w:t>- Исполнительная схема;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right="0"/>
        <w:jc w:val="both"/>
        <w:outlineLvl w:val="0"/>
        <w:rPr>
          <w:color w:val="000000"/>
          <w:lang w:val="ru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val="ru" w:eastAsia="zh-CN" w:bidi="ar"/>
        </w:rPr>
        <w:t>- Паспорт качества;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right="0"/>
        <w:jc w:val="both"/>
        <w:outlineLvl w:val="0"/>
        <w:rPr>
          <w:color w:val="000000"/>
          <w:lang w:val="en-US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val="ru" w:eastAsia="zh-CN" w:bidi="ar"/>
        </w:rPr>
        <w:t>- Сертификат соответствия</w:t>
      </w:r>
      <w:r>
        <w:rPr>
          <w:rFonts w:hint="default" w:ascii="Times New Roman" w:hAnsi="Times New Roman" w:eastAsia="Times New Roman" w:cs="Times New Roman"/>
          <w:color w:val="000000"/>
          <w:kern w:val="0"/>
          <w:sz w:val="24"/>
          <w:szCs w:val="24"/>
          <w:lang w:val="en-US" w:eastAsia="zh-CN" w:bidi="ar"/>
        </w:rPr>
        <w:t>.</w:t>
      </w:r>
    </w:p>
    <w:p>
      <w:pPr>
        <w:keepNext w:val="0"/>
        <w:keepLines w:val="0"/>
        <w:widowControl/>
        <w:numPr>
          <w:ilvl w:val="-1"/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6.14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Подрядчик предостав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ляет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Заказчику приказ о назначении ответственного производителя работ (СП 48.13330.2011, п.5.2.), с приложением надлежащим образом заверенных копий документов, подтверждающих наличие у ответственного лица соответствующей квалификации (документ об окончании профессионального учебного заведения в области строительства);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6.15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Подрядчик своими силами уточняет размеры и количество требуемых материалов по месту.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6.16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До заключения Договора Подрядчик составляет локальную смету на основе </w:t>
      </w:r>
      <w:r>
        <w:rPr>
          <w:rStyle w:val="5"/>
          <w:lang w:val="ru" w:bidi="ar"/>
        </w:rPr>
        <w:t xml:space="preserve">Сметной документации (Приложение № 2 к Договору)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 применением коэффициента аукционного снижения.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  <w:rPr>
          <w:rFonts w:hint="default" w:ascii="Times New Roman" w:hAnsi="Times New Roman" w:eastAsia="Times New Roman" w:cs="Times New Roman"/>
          <w:b/>
          <w:bCs/>
          <w:kern w:val="0"/>
          <w:sz w:val="24"/>
          <w:szCs w:val="24"/>
          <w:lang w:val="ru-RU" w:eastAsia="zh-CN" w:bidi="ar"/>
        </w:rPr>
      </w:pPr>
      <w:r>
        <w:rPr>
          <w:rFonts w:hint="default" w:ascii="Times New Roman" w:hAnsi="Times New Roman" w:eastAsia="Times New Roman" w:cs="Times New Roman"/>
          <w:b/>
          <w:bCs/>
          <w:kern w:val="0"/>
          <w:sz w:val="24"/>
          <w:szCs w:val="24"/>
          <w:lang w:val="ru-RU" w:eastAsia="zh-CN" w:bidi="ar"/>
        </w:rPr>
        <w:t>Качество и безопасность выполняемых работ: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Качество работ, а также используем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ых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материа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лов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, изделия и оборудование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соответствуют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следующей нормативно-технической документации в актуальной редакции: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СНиП 12-03-2001 «Безопасность труда в строительстве. Часть 1. Общие требования»;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СНиП 12-04-2002 «Безопасность труда в строительстве. Часть 2. Строительное производство»;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СНиП 21-01-97* «Пожарная безопасность зданий и сооружений»;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СП 68.13330.2017 «Приемка в эксплуатацию законченных строительством объектов»;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СП 48.13330.2011 «Организация строительства»;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Полы. Свод правил (в развитие СНиП 2.03.13-88 "Полы" и СНиП 3.04.01-87 "Изоляционные и отделочные покрытия")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При проведении работ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соблюдаются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требования Правил противопожарного режима в РФ, утвержденные Постановлением Правительства РФ от 25.04.2012г. № 390, требования нормативных документов по охране труда и охране окружающей среды.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Все используемые материалы и оборудование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имеют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технические паспорта и сертификаты соответствия и не хуже по своим характеристикам материалов, указанных в локальной смете и техническом задании.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rFonts w:hint="default" w:ascii="Times New Roman" w:hAnsi="Times New Roman" w:eastAsia="Times New Roman" w:cs="Times New Roman"/>
          <w:b/>
          <w:kern w:val="0"/>
          <w:sz w:val="24"/>
          <w:szCs w:val="24"/>
          <w:lang w:val="ru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b/>
          <w:lang w:val="ru"/>
        </w:rPr>
      </w:pPr>
      <w:r>
        <w:rPr>
          <w:rFonts w:hint="default" w:ascii="Times New Roman" w:hAnsi="Times New Roman" w:eastAsia="Times New Roman" w:cs="Times New Roman"/>
          <w:b/>
          <w:kern w:val="0"/>
          <w:sz w:val="24"/>
          <w:szCs w:val="24"/>
          <w:lang w:val="ru" w:eastAsia="zh-CN" w:bidi="ar"/>
        </w:rPr>
        <w:t xml:space="preserve">Технические характеристики </w:t>
      </w:r>
    </w:p>
    <w:tbl>
      <w:tblPr>
        <w:tblStyle w:val="4"/>
        <w:tblW w:w="8900" w:type="dxa"/>
        <w:tblInd w:w="520" w:type="dxa"/>
        <w:shd w:val="clear"/>
        <w:tblLayout w:type="fixed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4360"/>
        <w:gridCol w:w="2270"/>
        <w:gridCol w:w="2270"/>
      </w:tblGrid>
      <w:tr>
        <w:tblPrEx>
          <w:shd w:val="clear"/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Показатель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Методика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Значение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16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 xml:space="preserve">Массовая доля нелетучих веществ,  %, 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ГОСТ 31939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22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vertAlign w:val="superscript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Плотность покрытия (в зависимости от цвета покрытия), г/см</w:t>
            </w: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vertAlign w:val="superscript"/>
                <w:lang w:val="en-US" w:eastAsia="en-US" w:bidi="ar"/>
              </w:rPr>
              <w:t>3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ГОСТ Р 53654.1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highlight w:val="yellow"/>
                <w:bdr w:val="none" w:color="auto" w:sz="0" w:space="0"/>
                <w:lang w:val="en-US" w:eastAsia="en-US" w:bidi="ar"/>
              </w:rPr>
              <w:t>1,6 – 1,7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28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vertAlign w:val="superscript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Рекомендуемый расход для толщины покрытия</w:t>
            </w:r>
            <w:r>
              <w:rPr>
                <w:rFonts w:hint="default" w:ascii="Times New Roman" w:hAnsi="Times New Roman" w:eastAsia="Times New Roman" w:cs="Times New Roman"/>
                <w:bCs/>
                <w:color w:val="00B050"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1 мм,  кг/м</w:t>
            </w: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vertAlign w:val="superscript"/>
                <w:lang w:val="en-US" w:eastAsia="en-US" w:bidi="ar"/>
              </w:rPr>
              <w:t>2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 xml:space="preserve">               -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1,6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16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 xml:space="preserve">Предел прочности на сжатие, МПа, 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ГОСТ 4651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65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22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color w:val="00B050"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 xml:space="preserve">Предел прочности на изгиб, МПа, </w:t>
            </w:r>
            <w:r>
              <w:rPr>
                <w:rFonts w:hint="default" w:ascii="Times New Roman" w:hAnsi="Times New Roman" w:eastAsia="Times New Roman" w:cs="Times New Roman"/>
                <w:bCs/>
                <w:color w:val="00B050"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 xml:space="preserve"> 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ГОСТ 4648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30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42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color w:val="00B050"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 xml:space="preserve">Предел прочности на растяжение, МПа, 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ГОСТ 18299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23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42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vertAlign w:val="superscript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 xml:space="preserve">Относительное удлинение при разрыве, %, 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ГОСТ 18299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22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shd w:val="clear" w:fill="FF000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Соотношение компонентов А:В,  масс.ч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-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100:10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26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Блеск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ГОСТ 31975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 xml:space="preserve">          полу глянцевая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26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Цвет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ГОСТ 23852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val="en-US"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по RAL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26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Ударная прочность, кДж/м</w:t>
            </w: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vertAlign w:val="superscript"/>
                <w:lang w:val="en-US" w:eastAsia="en-US" w:bidi="ar"/>
              </w:rPr>
              <w:t>2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ГОСТ 4647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40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26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 xml:space="preserve">Истираемость по Таберу, мг 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ГОСТ 13087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56</w:t>
            </w:r>
          </w:p>
        </w:tc>
      </w:tr>
      <w:tr>
        <w:tblPrEx>
          <w:tblLayout w:type="fixed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rHeight w:val="260" w:hRule="atLeast"/>
        </w:trPr>
        <w:tc>
          <w:tcPr>
            <w:tcW w:w="436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val="en-US"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Твердость по Шору D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ГОСТ 24621</w:t>
            </w:r>
          </w:p>
        </w:tc>
        <w:tc>
          <w:tcPr>
            <w:tcW w:w="227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56" w:lineRule="auto"/>
              <w:ind w:left="0" w:right="0" w:firstLine="700"/>
              <w:jc w:val="both"/>
              <w:outlineLvl w:val="0"/>
              <w:rPr>
                <w:bCs/>
                <w:bdr w:val="none" w:color="auto" w:sz="0" w:space="0"/>
                <w:lang w:val="en-US" w:eastAsia="en-US"/>
              </w:rPr>
            </w:pPr>
            <w:r>
              <w:rPr>
                <w:rFonts w:hint="default" w:ascii="Times New Roman" w:hAnsi="Times New Roman" w:eastAsia="Times New Roman" w:cs="Times New Roman"/>
                <w:bCs/>
                <w:kern w:val="0"/>
                <w:sz w:val="24"/>
                <w:szCs w:val="24"/>
                <w:bdr w:val="none" w:color="auto" w:sz="0" w:space="0"/>
                <w:lang w:val="en-US" w:eastAsia="en-US" w:bidi="ar"/>
              </w:rPr>
              <w:t>80</w:t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b/>
          <w:bCs w:val="0"/>
          <w:lang w:val="ru"/>
        </w:rPr>
      </w:pPr>
      <w:r>
        <w:rPr>
          <w:rFonts w:hint="default" w:ascii="Times New Roman" w:hAnsi="Times New Roman" w:eastAsia="Times New Roman" w:cs="Times New Roman"/>
          <w:b/>
          <w:bCs w:val="0"/>
          <w:kern w:val="0"/>
          <w:sz w:val="24"/>
          <w:szCs w:val="24"/>
          <w:lang w:val="ru" w:eastAsia="zh-CN" w:bidi="ar"/>
        </w:rPr>
        <w:t>Теплостойкость: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Воздействие    Сухое тепло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Постоянно       +50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vertAlign w:val="superscript"/>
          <w:lang w:val="ru" w:eastAsia="zh-CN" w:bidi="ar"/>
        </w:rPr>
        <w:t>0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7 дней           +80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vertAlign w:val="superscript"/>
          <w:lang w:val="ru" w:eastAsia="zh-CN" w:bidi="ar"/>
        </w:rPr>
        <w:t>0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Кратковременно  +100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vertAlign w:val="superscript"/>
          <w:lang w:val="ru" w:eastAsia="zh-CN" w:bidi="ar"/>
        </w:rPr>
        <w:t>0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lang w:val="ru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b/>
          <w:bCs w:val="0"/>
          <w:lang w:val="ru"/>
        </w:rPr>
      </w:pPr>
      <w:r>
        <w:rPr>
          <w:rFonts w:hint="default" w:ascii="Times New Roman" w:hAnsi="Times New Roman" w:eastAsia="Times New Roman" w:cs="Times New Roman"/>
          <w:b/>
          <w:bCs w:val="0"/>
          <w:kern w:val="0"/>
          <w:sz w:val="24"/>
          <w:szCs w:val="24"/>
          <w:lang w:val="ru" w:eastAsia="zh-CN" w:bidi="ar"/>
        </w:rPr>
        <w:t>Химическая стойкость: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Реагент:                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Общий результат по истечении 8 недель: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Вода пресная                                 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Вода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морская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                               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Авиационные топлива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                     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Трансформаторные и машинные масла 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      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Бензин                                   условно 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Альдегиды                                    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Спирты                                   условно 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Жиры                                        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Кетоны                                      нестойко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Растворы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ПАВ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                             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Ароматические углеводороды условно   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     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10% молочная кислота               стойко, изменение поверхности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10% уксусная кислота             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стойко, изменение поверхности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20% серная кислота                  стойко, изменение поверхности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98% серная кислота                            нестойко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20% натрия гидроксид                           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10% натрия гипохлорит             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стойко, изменение поверхности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1,1,1-трихлорэтан нестойко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Стойко: минимальное понижение твёрдости по Шору в пределах 20%, отсутствие пузырей, адгезия с основанием без изменений, отсутствие вздутий.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Условно стойко: понижение твёрдости по Шору от 20 до 40%, отсутствие пузырей, адгезия с основанием без изменений, наблюдаются вздутия покрытия.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Нестойко: значительное уменьшение твёрдости по Шору на 40%, возникновение пузырей, частичное разрушение слоя материала.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Изменение поверхности: у покрытия изменение степени глянца.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Подрядчик предостав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ляет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санитарно-эпидемиологическое заключение на материал, используемый в качестве финишного покрытия. Материалы изготовлены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highlight w:val="yellow"/>
          <w:lang w:val="ru-RU" w:eastAsia="zh-CN" w:bidi="ar"/>
        </w:rPr>
        <w:t>не ранее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highlight w:val="yellow"/>
          <w:lang w:val="ru" w:eastAsia="zh-CN" w:bidi="ar"/>
        </w:rPr>
        <w:t xml:space="preserve"> 5 месяцев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даты заключения договора. Подрядчик несет ответственность за качество используемых материалов. </w:t>
      </w:r>
    </w:p>
    <w:p>
      <w:pPr>
        <w:keepNext w:val="0"/>
        <w:keepLines w:val="0"/>
        <w:widowControl/>
        <w:numPr>
          <w:ilvl w:val="-1"/>
          <w:numId w:val="0"/>
        </w:numPr>
        <w:suppressLineNumbers w:val="0"/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Поверхность покрытия пола ровн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ая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. Отклонение поверхности покрытия пола от горизонтальной плоскости на длине 2 м – 2 мм.</w:t>
      </w:r>
    </w:p>
    <w:p>
      <w:pPr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Во время проведения работ соблюдена необходимая технология, для обеспечения отсутствия видимых и невидимых дефектов (трещин, раковин, неровностей и т.д.). Адгезия полимерного покрытия к основанию достаточ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на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для обеспечения стойкости к высоким механическим нагрузкам.</w:t>
      </w:r>
    </w:p>
    <w:p>
      <w:pPr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right="0" w:rightChars="0"/>
        <w:jc w:val="both"/>
        <w:outlineLvl w:val="0"/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Толщина полимерного пола обеспечива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выравнивание неровностей основания.</w:t>
      </w:r>
    </w:p>
    <w:p>
      <w:pPr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Финишное покрытие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имеет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глянцевую поверхность.</w:t>
      </w:r>
    </w:p>
    <w:p>
      <w:pPr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Требования к покрытию: выдержива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значительную интенсивность механических воздействий, вибрационные нагрузки от станков, име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ют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высокую химическую стойкость, высокую стойкость к истиранию, эффективно сопротивля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ется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износу; маслобензостойк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ое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и малопыльн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ое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.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Обладает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ударопрочностью, морозостойкостью.</w:t>
      </w:r>
    </w:p>
    <w:p>
      <w:pPr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Нет н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аличи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я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трещин на финишном покрытии, а также в процессе схватывания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>.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</w:t>
      </w:r>
    </w:p>
    <w:p>
      <w:pPr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Цвет согласовывается с Заказчиком.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right="0"/>
        <w:jc w:val="both"/>
        <w:outlineLvl w:val="0"/>
        <w:rPr>
          <w:rFonts w:hint="default" w:ascii="Times New Roman" w:hAnsi="Times New Roman" w:eastAsia="Times New Roman" w:cs="Times New Roman"/>
          <w:b/>
          <w:bCs/>
          <w:kern w:val="0"/>
          <w:sz w:val="24"/>
          <w:szCs w:val="24"/>
          <w:lang w:val="ru-RU" w:eastAsia="zh-CN" w:bidi="ar"/>
        </w:rPr>
      </w:pPr>
      <w:r>
        <w:rPr>
          <w:rFonts w:hint="default" w:ascii="Times New Roman" w:hAnsi="Times New Roman" w:eastAsia="Times New Roman" w:cs="Times New Roman"/>
          <w:b/>
          <w:bCs/>
          <w:kern w:val="0"/>
          <w:sz w:val="24"/>
          <w:szCs w:val="24"/>
          <w:lang w:val="ru-RU" w:eastAsia="zh-CN" w:bidi="ar"/>
        </w:rPr>
        <w:t>Состав работ: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-фрезеровка существующего основания, армированная бетонная плитка в полном объеме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-устранение масляных пятен (расчистка основания до здорового бетона)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-локальный ремонт (15 % от площади)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-грунтование эпоксидной грунтовкой быстрого отвердения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en-US" w:eastAsia="zh-CN" w:bidi="ar"/>
        </w:rPr>
        <w:t>Polypol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102 (или эквивалент)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-монтаж армирующей стеклосетки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- устройство выравнивающего слоя из высоконаполненной смеси грунтовки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en-US" w:eastAsia="zh-CN" w:bidi="ar"/>
        </w:rPr>
        <w:t>Polypol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102 (или эквивалент)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-шлифовка основания после заливки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-грунтование эпоксидным составом LevlCoat 101 (0,2кг/м2) (или эквивалент)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-протяжка эпоксидным составом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en-US" w:eastAsia="zh-CN" w:bidi="ar"/>
        </w:rPr>
        <w:t>Polypol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102 (или эквивалент) с кварцевым песком фракции 0,1-0,4 (0,5кг/м2)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-шлифовка основания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-устройство лицевого слоя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en-US" w:eastAsia="zh-CN" w:bidi="ar"/>
        </w:rPr>
        <w:t>Polypol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202 (3кг/м2) (или эквивалент)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-покрытие защитным матовым лаком LevlCoat 254 (0,14кг/м2) (или эквивалент)</w:t>
      </w:r>
    </w:p>
    <w:p>
      <w:pPr>
        <w:keepNext w:val="0"/>
        <w:keepLines w:val="0"/>
        <w:widowControl/>
        <w:suppressLineNumbers w:val="0"/>
        <w:shd w:val="clear" w:fill="FFFF0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-нанесение разметки.</w:t>
      </w:r>
    </w:p>
    <w:p>
      <w:pPr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right="0" w:rightChars="0"/>
        <w:jc w:val="both"/>
        <w:outlineLvl w:val="0"/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  <w:t xml:space="preserve"> </w:t>
      </w:r>
    </w:p>
    <w:p>
      <w:pPr>
        <w:keepNext w:val="0"/>
        <w:keepLines w:val="0"/>
        <w:widowControl/>
        <w:numPr>
          <w:ilvl w:val="-1"/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left="700" w:leftChars="0" w:right="0" w:rightChars="0"/>
        <w:jc w:val="both"/>
        <w:outlineLvl w:val="0"/>
        <w:rPr>
          <w:b/>
          <w:lang w:val="ru"/>
        </w:rPr>
      </w:pPr>
      <w:r>
        <w:rPr>
          <w:rFonts w:hint="default" w:ascii="Times New Roman" w:hAnsi="Times New Roman" w:eastAsia="Times New Roman" w:cs="Times New Roman"/>
          <w:b/>
          <w:kern w:val="0"/>
          <w:sz w:val="24"/>
          <w:szCs w:val="24"/>
          <w:lang w:val="ru-RU" w:eastAsia="zh-CN" w:bidi="ar"/>
        </w:rPr>
        <w:t xml:space="preserve">9. </w:t>
      </w:r>
      <w:r>
        <w:rPr>
          <w:rFonts w:hint="default" w:ascii="Times New Roman" w:hAnsi="Times New Roman" w:eastAsia="Times New Roman" w:cs="Times New Roman"/>
          <w:b/>
          <w:kern w:val="0"/>
          <w:sz w:val="24"/>
          <w:szCs w:val="24"/>
          <w:lang w:val="ru" w:eastAsia="zh-CN" w:bidi="ar"/>
        </w:rPr>
        <w:t>Порядок сдачи и приемки результатов работ: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Заказчик в одностороннем порядке 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highlight w:val="yellow"/>
          <w:lang w:val="ru-RU" w:eastAsia="zh-CN" w:bidi="ar"/>
        </w:rPr>
        <w:t>может уменьшить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объем выполняемых работ.  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bCs/>
          <w:lang w:val="ru"/>
        </w:rPr>
      </w:pPr>
      <w:r>
        <w:rPr>
          <w:rFonts w:hint="default" w:ascii="Times New Roman" w:hAnsi="Times New Roman" w:eastAsia="Times New Roman" w:cs="Times New Roman"/>
          <w:bCs/>
          <w:kern w:val="0"/>
          <w:sz w:val="24"/>
          <w:szCs w:val="24"/>
          <w:lang w:val="ru" w:eastAsia="zh-CN" w:bidi="ar"/>
        </w:rPr>
        <w:t xml:space="preserve">По окончании работ при отсутствии замечаний от эксплуатирующего подразделения Подрядчик предоставляет исполнительную документацию, подписывается акт приемки. 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bCs/>
          <w:lang w:val="ru"/>
        </w:rPr>
      </w:pPr>
      <w:r>
        <w:rPr>
          <w:rFonts w:hint="default" w:ascii="Times New Roman" w:hAnsi="Times New Roman" w:eastAsia="Times New Roman" w:cs="Times New Roman"/>
          <w:bCs/>
          <w:kern w:val="0"/>
          <w:sz w:val="24"/>
          <w:szCs w:val="24"/>
          <w:lang w:val="ru" w:eastAsia="zh-CN" w:bidi="ar"/>
        </w:rPr>
        <w:t xml:space="preserve">Если в процессе работ выполняются работы, скрываемые последующими работами, составляется акт освидетельствования скрытых работ. </w:t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  <w:rPr>
          <w:bCs/>
          <w:lang w:val="ru"/>
        </w:rPr>
      </w:pPr>
      <w:r>
        <w:rPr>
          <w:rFonts w:hint="default" w:ascii="Times New Roman" w:hAnsi="Times New Roman" w:eastAsia="Times New Roman" w:cs="Times New Roman"/>
          <w:bCs/>
          <w:kern w:val="0"/>
          <w:sz w:val="24"/>
          <w:szCs w:val="24"/>
          <w:lang w:val="ru" w:eastAsia="zh-CN" w:bidi="ar"/>
        </w:rPr>
        <w:t>Перечень исполнительной документации: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- Исполнительные схемы - 4 экз. на бумажном носителе + 1 экз. на электронном носителе;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</w:pP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>- Акты скрытых работ - 4 экз. на бумажном носителе.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700"/>
        <w:jc w:val="both"/>
        <w:outlineLvl w:val="0"/>
        <w:rPr>
          <w:lang w:val="ru"/>
        </w:rPr>
      </w:pPr>
      <w:bookmarkStart w:id="0" w:name="_GoBack"/>
      <w:bookmarkEnd w:id="0"/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840"/>
          <w:tab w:val="left" w:pos="1560"/>
          <w:tab w:val="left" w:pos="1980"/>
        </w:tabs>
        <w:spacing w:before="0" w:beforeAutospacing="0" w:after="0" w:afterAutospacing="0"/>
        <w:ind w:left="700" w:leftChars="0" w:right="0" w:rightChars="0"/>
        <w:jc w:val="both"/>
        <w:outlineLvl w:val="0"/>
      </w:pPr>
      <w:r>
        <w:rPr>
          <w:rFonts w:hint="default" w:ascii="Times New Roman" w:hAnsi="Times New Roman" w:eastAsia="Times New Roman" w:cs="Times New Roman"/>
          <w:b/>
          <w:bCs w:val="0"/>
          <w:kern w:val="0"/>
          <w:sz w:val="24"/>
          <w:szCs w:val="24"/>
          <w:lang w:val="ru-RU" w:eastAsia="zh-CN" w:bidi="ar"/>
        </w:rPr>
        <w:t xml:space="preserve">10. </w:t>
      </w:r>
      <w:r>
        <w:rPr>
          <w:rFonts w:hint="default" w:ascii="Times New Roman" w:hAnsi="Times New Roman" w:eastAsia="Times New Roman" w:cs="Times New Roman"/>
          <w:b/>
          <w:bCs w:val="0"/>
          <w:kern w:val="0"/>
          <w:sz w:val="24"/>
          <w:szCs w:val="24"/>
          <w:lang w:val="ru" w:eastAsia="zh-CN" w:bidi="ar"/>
        </w:rPr>
        <w:t>Срок предоставления гарантии качества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 на результаты выполненных работ: 5 лет с момента подписания Акта о приемке выполненных работ (по форме КС-2) с приложением Справки о стоимости выполненных работ и затрат (по форме КС</w:t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noBreakHyphen/>
      </w:r>
      <w:r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  <w:t xml:space="preserve">3). 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right="0"/>
        <w:jc w:val="both"/>
        <w:outlineLvl w:val="0"/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right="0"/>
        <w:jc w:val="both"/>
        <w:outlineLvl w:val="0"/>
        <w:rPr>
          <w:rFonts w:hint="default" w:ascii="Times New Roman" w:hAnsi="Times New Roman" w:eastAsia="Times New Roman" w:cs="Times New Roman"/>
          <w:kern w:val="0"/>
          <w:sz w:val="24"/>
          <w:szCs w:val="24"/>
          <w:lang w:val="ru" w:eastAsia="zh-CN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360"/>
        </w:tabs>
        <w:spacing w:before="0" w:beforeAutospacing="0" w:after="0" w:afterAutospacing="0"/>
        <w:ind w:right="0" w:rightChars="0"/>
        <w:jc w:val="both"/>
        <w:outlineLvl w:val="0"/>
        <w:rPr>
          <w:rFonts w:hint="default" w:ascii="Times New Roman" w:hAnsi="Times New Roman" w:eastAsia="Times New Roman" w:cs="Times New Roman"/>
          <w:kern w:val="0"/>
          <w:sz w:val="24"/>
          <w:szCs w:val="24"/>
          <w:lang w:val="ru-RU" w:eastAsia="zh-CN" w:bidi="ar"/>
        </w:rPr>
      </w:pPr>
    </w:p>
    <w:p>
      <w:pPr>
        <w:numPr>
          <w:numId w:val="0"/>
        </w:numPr>
        <w:spacing w:after="120"/>
        <w:jc w:val="left"/>
        <w:rPr>
          <w:rFonts w:hint="default" w:ascii="Times New Roman" w:hAnsi="Times New Roman" w:eastAsia="Times New Roman" w:cs="Times New Roman"/>
          <w:sz w:val="24"/>
          <w:szCs w:val="24"/>
          <w:lang w:val="ru-RU" w:eastAsia="ru" w:bidi="ar"/>
        </w:rPr>
      </w:pPr>
    </w:p>
    <w:p>
      <w:pPr>
        <w:ind w:firstLine="709"/>
        <w:jc w:val="both"/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decorative"/>
    <w:pitch w:val="default"/>
    <w:sig w:usb0="E00002FF" w:usb1="4000ACFF" w:usb2="00000001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roman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swiss"/>
    <w:pitch w:val="default"/>
    <w:sig w:usb0="E0002AFF" w:usb1="C0007843" w:usb2="00000009" w:usb3="00000000" w:csb0="400001FF" w:csb1="FFFF0000"/>
  </w:font>
  <w:font w:name="Cambria">
    <w:panose1 w:val="02040503050406030204"/>
    <w:charset w:val="CC"/>
    <w:family w:val="modern"/>
    <w:pitch w:val="default"/>
    <w:sig w:usb0="E00002FF" w:usb1="400004FF" w:usb2="00000000" w:usb3="00000000" w:csb0="2000019F" w:csb1="00000000"/>
  </w:font>
  <w:font w:name="Arial">
    <w:panose1 w:val="020B0604020202020204"/>
    <w:charset w:val="CC"/>
    <w:family w:val="decorative"/>
    <w:pitch w:val="default"/>
    <w:sig w:usb0="E0002AFF" w:usb1="C0007843" w:usb2="00000009" w:usb3="00000000" w:csb0="400001FF" w:csb1="FFFF0000"/>
  </w:font>
  <w:font w:name="MS Sans Serif">
    <w:altName w:val="Arial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Calibri">
    <w:panose1 w:val="020F0502020204030204"/>
    <w:charset w:val="CC"/>
    <w:family w:val="decorative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decorative"/>
    <w:pitch w:val="default"/>
    <w:sig w:usb0="E1002EFF" w:usb1="C000605B" w:usb2="00000029" w:usb3="00000000" w:csb0="200101FF" w:csb1="20280000"/>
  </w:font>
  <w:font w:name="NTTimes/Cyrillic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libri Light">
    <w:panose1 w:val="020F0302020204030204"/>
    <w:charset w:val="CC"/>
    <w:family w:val="decorative"/>
    <w:pitch w:val="default"/>
    <w:sig w:usb0="A00002EF" w:usb1="4000207B" w:usb2="00000000" w:usb3="00000000" w:csb0="2000019F" w:csb1="00000000"/>
  </w:font>
  <w:font w:name="Verdana">
    <w:panose1 w:val="020B0604030504040204"/>
    <w:charset w:val="CC"/>
    <w:family w:val="decorative"/>
    <w:pitch w:val="default"/>
    <w:sig w:usb0="A10006FF" w:usb1="4000205B" w:usb2="00000010" w:usb3="00000000" w:csb0="2000019F" w:csb1="00000000"/>
  </w:font>
  <w:font w:name="Candara">
    <w:panose1 w:val="020E0502030303020204"/>
    <w:charset w:val="CC"/>
    <w:family w:val="decorative"/>
    <w:pitch w:val="default"/>
    <w:sig w:usb0="A00002EF" w:usb1="4000A44B" w:usb2="00000000" w:usb3="00000000" w:csb0="2000019F" w:csb1="00000000"/>
  </w:font>
  <w:font w:name="CordiaUPC">
    <w:panose1 w:val="020B0304020202020204"/>
    <w:charset w:val="00"/>
    <w:family w:val="decorative"/>
    <w:pitch w:val="default"/>
    <w:sig w:usb0="81000003" w:usb1="00000000" w:usb2="00000000" w:usb3="00000000" w:csb0="00010001" w:csb1="00000000"/>
  </w:font>
  <w:font w:name="Cambria Math">
    <w:panose1 w:val="02040503050406030204"/>
    <w:charset w:val="CC"/>
    <w:family w:val="auto"/>
    <w:pitch w:val="variable"/>
    <w:sig w:usb0="E00002FF" w:usb1="420024FF" w:usb2="00000000" w:usb3="00000000" w:csb0="2000019F" w:csb1="00000000"/>
  </w:font>
  <w:font w:name="SimSun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Calibri">
    <w:panose1 w:val="020F0502020204030204"/>
    <w:charset w:val="86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modern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decorative"/>
    <w:pitch w:val="default"/>
    <w:sig w:usb0="E0002AFF" w:usb1="C0007843" w:usb2="00000009" w:usb3="00000000" w:csb0="400001FF" w:csb1="FFFF0000"/>
  </w:font>
  <w:font w:name="Cambria">
    <w:panose1 w:val="02040503050406030204"/>
    <w:charset w:val="CC"/>
    <w:family w:val="swiss"/>
    <w:pitch w:val="default"/>
    <w:sig w:usb0="E00002FF" w:usb1="400004FF" w:usb2="00000000" w:usb3="00000000" w:csb0="2000019F" w:csb1="00000000"/>
  </w:font>
  <w:font w:name="Arial">
    <w:panose1 w:val="020B0604020202020204"/>
    <w:charset w:val="CC"/>
    <w:family w:val="roman"/>
    <w:pitch w:val="default"/>
    <w:sig w:usb0="E0002AFF" w:usb1="C0007843" w:usb2="00000009" w:usb3="00000000" w:csb0="400001FF" w:csb1="FFFF0000"/>
  </w:font>
  <w:font w:name="MS Sans Serif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">
    <w:panose1 w:val="020F0502020204030204"/>
    <w:charset w:val="CC"/>
    <w:family w:val="roman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roman"/>
    <w:pitch w:val="default"/>
    <w:sig w:usb0="E1002EFF" w:usb1="C000605B" w:usb2="00000029" w:usb3="00000000" w:csb0="200101FF" w:csb1="20280000"/>
  </w:font>
  <w:font w:name="Calibri Light">
    <w:panose1 w:val="020F0302020204030204"/>
    <w:charset w:val="CC"/>
    <w:family w:val="roman"/>
    <w:pitch w:val="default"/>
    <w:sig w:usb0="A00002EF" w:usb1="4000207B" w:usb2="00000000" w:usb3="00000000" w:csb0="2000019F" w:csb1="00000000"/>
  </w:font>
  <w:font w:name="Verdana">
    <w:panose1 w:val="020B0604030504040204"/>
    <w:charset w:val="CC"/>
    <w:family w:val="roman"/>
    <w:pitch w:val="default"/>
    <w:sig w:usb0="A10006FF" w:usb1="4000205B" w:usb2="00000010" w:usb3="00000000" w:csb0="2000019F" w:csb1="00000000"/>
  </w:font>
  <w:font w:name="Candara">
    <w:panose1 w:val="020E0502030303020204"/>
    <w:charset w:val="CC"/>
    <w:family w:val="roman"/>
    <w:pitch w:val="default"/>
    <w:sig w:usb0="A00002EF" w:usb1="4000A44B" w:usb2="00000000" w:usb3="00000000" w:csb0="2000019F" w:csb1="00000000"/>
  </w:font>
  <w:font w:name="CordiaUPC">
    <w:panose1 w:val="020B0304020202020204"/>
    <w:charset w:val="00"/>
    <w:family w:val="roman"/>
    <w:pitch w:val="default"/>
    <w:sig w:usb0="81000003" w:usb1="00000000" w:usb2="00000000" w:usb3="00000000" w:csb0="00010001" w:csb1="00000000"/>
  </w:font>
  <w:font w:name="SimSun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Cordia New">
    <w:panose1 w:val="020B0304020202020204"/>
    <w:charset w:val="00"/>
    <w:family w:val="auto"/>
    <w:pitch w:val="default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587637305">
    <w:nsid w:val="5EA16C39"/>
    <w:multiLevelType w:val="singleLevel"/>
    <w:tmpl w:val="5EA16C39"/>
    <w:lvl w:ilvl="0" w:tentative="1">
      <w:start w:val="1"/>
      <w:numFmt w:val="decimal"/>
      <w:suff w:val="space"/>
      <w:lvlText w:val="%1."/>
      <w:lvlJc w:val="left"/>
    </w:lvl>
  </w:abstractNum>
  <w:num w:numId="1">
    <w:abstractNumId w:val="15876373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doNotExpandShiftReturn/>
    <w:adjustLineHeightInTable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7E1427"/>
    <w:rsid w:val="297E142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sz w:val="24"/>
      <w:szCs w:val="24"/>
      <w:lang w:val="ru-RU" w:eastAsia="ru-RU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hint="eastAsia" w:ascii="Calibri" w:hAnsi="Calibri" w:cs="Calibri"/>
      <w:sz w:val="22"/>
      <w:szCs w:val="22"/>
      <w:lang w:eastAsia="en-US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2">
    <w:name w:val="Body Text Indent"/>
    <w:basedOn w:val="1"/>
    <w:uiPriority w:val="0"/>
    <w:pPr>
      <w:ind w:firstLine="708"/>
      <w:jc w:val="both"/>
    </w:pPr>
    <w:rPr>
      <w:szCs w:val="20"/>
    </w:rPr>
  </w:style>
  <w:style w:type="character" w:customStyle="1" w:styleId="5">
    <w:name w:val="Основной текст Знак"/>
    <w:aliases w:val="Body Text Char Знак,body text Знак"/>
    <w:uiPriority w:val="0"/>
    <w:rPr>
      <w:rFonts w:hint="default" w:ascii="Times New Roman" w:hAnsi="Times New Roman" w:eastAsia="Times New Roman" w:cs="Times New Roman"/>
      <w:sz w:val="24"/>
      <w:szCs w:val="24"/>
      <w:lang w:eastAsia="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2020-04-23T05:16:00Z</dcterms:created>
  <dc:creator>катарина</dc:creator>
  <cp:lastModifiedBy>катарина</cp:lastModifiedBy>
  <dcterms:modified xsi:type="dcterms:W3CDTF">2020-04-23T11:37:08Z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1049-10.1.0.5507</vt:lpwstr>
  </property>
</Properties>
</file>