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282" w:rsidRPr="00686282" w:rsidRDefault="00686282" w:rsidP="00686282">
      <w:pPr>
        <w:spacing w:after="0" w:line="351" w:lineRule="atLeast"/>
        <w:outlineLvl w:val="0"/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ru-RU"/>
        </w:rPr>
      </w:pPr>
      <w:r w:rsidRPr="00686282"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ru-RU"/>
        </w:rPr>
        <w:t>Постановление от 14 сентября 2016 г. по делу № А53-13490/2016</w:t>
      </w:r>
    </w:p>
    <w:p w:rsidR="00686282" w:rsidRPr="00686282" w:rsidRDefault="00205EB0" w:rsidP="00686282">
      <w:pPr>
        <w:spacing w:after="60" w:line="234" w:lineRule="atLeast"/>
        <w:rPr>
          <w:rFonts w:ascii="Arial" w:eastAsia="Times New Roman" w:hAnsi="Arial" w:cs="Arial"/>
          <w:color w:val="8C8C8C"/>
          <w:sz w:val="18"/>
          <w:szCs w:val="18"/>
          <w:lang w:eastAsia="ru-RU"/>
        </w:rPr>
      </w:pPr>
      <w:hyperlink r:id="rId4" w:tgtFrame="_blank" w:history="1">
        <w:r w:rsidR="00686282" w:rsidRPr="00686282">
          <w:rPr>
            <w:rFonts w:ascii="Arial" w:eastAsia="Times New Roman" w:hAnsi="Arial" w:cs="Arial"/>
            <w:color w:val="8859A8"/>
            <w:sz w:val="18"/>
            <w:u w:val="single"/>
            <w:lang w:eastAsia="ru-RU"/>
          </w:rPr>
          <w:t>Пятнадцатый арбитражный апелляционный суд (15 ААС)</w:t>
        </w:r>
      </w:hyperlink>
    </w:p>
    <w:p w:rsidR="00686282" w:rsidRPr="00686282" w:rsidRDefault="00205EB0" w:rsidP="00686282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EB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stroked="f"/>
        </w:pict>
      </w:r>
    </w:p>
    <w:p w:rsidR="00686282" w:rsidRPr="00686282" w:rsidRDefault="00686282" w:rsidP="006862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ПЯТНАДЦАТЫЙ АРБИТРАЖНЫЙ АПЕЛЛЯЦИОННЫЙ СУД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Газетный пер., 34/70/75 лит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А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г. Ростов-на-Дону, 344002, тел.: (863) 218-60-26, факс: (863) 218-60-27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E-mail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info@15aas.arbitr.ru, Сайт: http://15aas.arbitr.ru/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686282" w:rsidRPr="00686282" w:rsidRDefault="00686282" w:rsidP="00686282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68628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ПОСТАНОВЛЕНИЕ</w:t>
      </w:r>
    </w:p>
    <w:p w:rsidR="00686282" w:rsidRPr="00686282" w:rsidRDefault="00686282" w:rsidP="006862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суда апелляционной инстанции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проверке законности и обоснованности решений (определений)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арбитражных судов, не вступивших в законную силу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дело № А53-13490/2016</w:t>
      </w:r>
      <w:r w:rsidRPr="0068628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br/>
        <w:t>город Ростов-на-Дону</w:t>
      </w:r>
      <w:r w:rsidRPr="0068628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br/>
        <w:t>14 сентября 2016 года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15АП-12655/2016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Резолютивная часть постановления объявлена 07 сентября 2016 года.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Полный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текст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постановления изготовлен 14 сентября 2016 года.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Пятнадцатый арбитражный апелляционный суд в составе: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председательствующего судьи Соловьевой М.В.,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судей Смотровой Н.Н.,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Сурмаляна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Г.А.,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при ведении протокола судебного заседания секретарем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Мируковой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Я.Ю.,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участии: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от Управления Федеральной службы судебных приставов по Ростовской области –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Задумина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Г.Ю. по доверенности от 12.01.2016 № Д-61907/16/14-ЮР;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Управления Федеральной антимонопольной службы по Ростовской области, закрытого акционерного общества "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Сбербанк-АСТ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", Лукаш Алексея Владимировича – представители в судебное заседание не явились, о месте и времени судебного заседания извещены надлежащим образом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ассмотрев в открытом судебном заседании апелляционную жалобу Управления Федеральной службы судебных приставов по Ростовской области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на решение Арбитражного суда Ростовской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областиот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14.07.2016 по делу № А53-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13490/2016, принятое судьей Чернышевой И.В.,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заявлению Управления Федеральной службы судебных приставов по Ростовской области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Управлению Федеральной антимонопольной службы по Ростовской области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третьи лица: закрытое акционерное общество "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Сбербанк-АСТ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"; Лукаш Алексей Владимирович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 признании незаконным решения,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686282" w:rsidRPr="00686282" w:rsidRDefault="00686282" w:rsidP="00686282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68628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УСТАНОВИЛ:</w:t>
      </w:r>
    </w:p>
    <w:p w:rsidR="00686282" w:rsidRPr="00686282" w:rsidRDefault="00686282" w:rsidP="006862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Управление Федеральной службы судебных приставов по Ростовской области (далее по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тексту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УФССП по РО, заказчик) обратилось в арбитражный суд с заявлением о признании недействительным решения Управления Федеральной антимонопольной службы по Ростовской области (далее - Ростовское УФАС, антимонопольный орган) № 588/03 от 05.04.2016.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Управление Федеральной службы судебных приставов по Ростовской области уточнило требование, просило оставить к рассмотрению только пункты 1 и 2 оспариваемого решения Управления от 05.04.2016.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Суд первой инстанции принял уточненные требования в порядке ст.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5" w:tgtFrame="_blank" w:tooltip="АПК РФ &gt;  Раздел I. Общие положения &gt; Глава 5. Лица, участвующие в деле, и иные участники арбитражного процесса &gt; Статья 49. Изменение основания или предмета иска, изменение размера исковых требований, отказ от иска, признание иска, мировое соглашение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49 АПК РФ</w:t>
        </w:r>
      </w:hyperlink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Решением Арбитражного суда Ростовской области от 14.07.2016 в удовлетворении заявленных требований отказано. Судебный акт мотивирован тем, что оспариваемое решение комиссии антимонопольного органа является законным и обоснованным, в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связи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 чем отсутствуют основания для его отмены.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согласившись с принятым судебным актом, УФССП по РО обратилось в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ятнадцатый арбитражный апелляционный суд с апелляционной жалобой, в которой просит отменить решение, сославшись на то, что документация заказчика позволяет участнику правильно и корректно заполнить заявку и не содержит положений, ограничивающих конкуренцию. Данный факт также подтверждается наличием заявок на участие в аукционе, поданных 9 участниками и отсутствием жалоб на положения документации. Технические требования к товару «Раствор готовый кладочный цементный» предъявлены заказчиком в полном соответствии с ГОСТ 28013-98, согласно которого, в зависимости от подвижности растворные смеси подразделяют на 4 марки по подвижности Пк-1, Пк-2, Пк-3, и Пк-4. Таким образом, в случае отсутствия в техническом задании указания на единицы измерения показателей читать их в соответствии с нормами действующих стандартов. Не допускается указание участником закупки в заявке неконкретных значений (в том числе диапазона значений) из технических регламентов и стандартов вместо конкретных показателей, за исключением случаев, когда показатель подобным образом указан в технической документации производителя. Также Управление в жалобе указывает, что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неперечисление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заказчиком конкретного вида работ, на которые требуется представить свидетельство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саморегулируемой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организации, не может быть признано нарушением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1 ст. 64 Закона, поскольку Федеральным законом о контрактной системе не предусмотрена обязанность заказчика конкретизировать в документации об аукционе требования, которые императивно предписаны действующим 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законодательством. Кроме того, при наличии каких-либо сомнений в отношении этой части требований документации об аукционе претендент вправе в установленном порядке обратиться к заказчику за получением соответствующих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разъяснений</w:t>
      </w:r>
      <w:proofErr w:type="gramStart"/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Пятнадцатый арбитражный апелляционный суд рассматривает апелляционную жалобу в порядке главы 34 Арбитражного процессуального кодекса Российской Федерации.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Управления Федеральной антимонопольной службы по Ростовской области поступило ходатайство о рассмотрении дела в отсутствии представителя.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судебном заседании представитель УФССП по РО поддержал доводы апелляционной жалобы в полном объеме.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Остальные участники процесса своих представителей в судебное заседание не направили, о времени и месте извещены надлежащим образом. В соответствии с частью 3 статьи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6" w:tgtFrame="_blank" w:tooltip="АПК РФ &gt;  Раздел II. Производство в арбитражном суде первой инстанции. Исковое производство &gt; Глава 19. Судебное разбирательство &gt; Статья 156. Рассмотрение дела при непредставлении отзыва на исковое заявление, дополнительных доказательств, а также в отсутствие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156 АПК РФ</w:t>
        </w:r>
      </w:hyperlink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суд апелляционной инстанции рассматривает жалобу в отсутствие представителей участвующих в деле лиц.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Изучив материалы дела, оценив доводы апелляционной жалобы, суд апелляционной инстанции пришёл к выводу об отсутствии оснований для отмены обжалуемого судебного акта.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следует из материалов дела основанием для возбуждения дела о нарушении антимонопольного законодательства послужило поступившее в Ростовское УФАС обращение ИП Лукаша А.В, в котором он указывал на получение ответа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на запрос</w:t>
      </w:r>
      <w:proofErr w:type="gramStart"/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поданный им в рамках размещенного Заказчиком извещения о проведении аукциона.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ходе рассмотрения дела комиссия антимонопольного органа установила следующее.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Заказчиком на общероссийском сайте публиковано извещение о проведен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ии ау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кциона в электронной форме №0158100008016000049 «Капитальный ремонт в помещении Азовского районного отдела судебных приставов», цена контракта 2 450 500 рублей.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ходе рассмотрения дела комиссией Ростовского УФАС были выявлены и иные нарушения, как-то: ИП Лукаш А.В. с целью получения</w:t>
      </w:r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разъяснений</w:t>
      </w:r>
      <w:proofErr w:type="gramStart"/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обратился к Заказчику с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запросом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в котором изложено следующее: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I.B техническом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задании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заказчиком применены такие фразы как: «Требования к минимальным значениям» и «Требования к максимальным значениям»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Вопрос: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1.Необходимо ли убирать слова: «минимальные» и «максимальные»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из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состав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данных фраз?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В товаре «Проволока горячекатаная» есть показатель: Катанка должна быть изготовлена из углеродистой стали обыкновенного качества марки: Ст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0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Cт1, Ст2 или Ст3.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Вопросы: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1.Необходимо ли выбрать одну из предложенных марок стали: Ст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0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Cт1, Ст2 или 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Ст3?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Укажите пункт инструкции регламентирующий ситуацию когда после знака «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:»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идут значения характеристики в следующей последовательности: X,Y,C или Z? Инструкция не предусматривает данную ситуацию!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III. В товаре «Канат» есть показатель: «Канат двойной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свивки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типа ТК»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.В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опросы: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1.Необходимо ли убирать слово «типа» из конструкции показателя/характеристики как не конкретное?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2. Укажите пункт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инструкции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регламентирующий ситуацию со словом «типа»?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IV. Необходимо ли УРЗ указывать в первой части заявки показатели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ихарактеристики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товаров из локально-сметного расчета? Если да, укажите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пунктинструкции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указывающий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 это!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Просьба ответить по отдельности на все указанные выше вопросы - конкретно без ссылок на инструкцию, если этого прямо не требует вопрос!».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Заказчиком 22.03.2016 был размещен ответ следующего содержания: В соответствии с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3.2.7. документации: Инструкция по подготовке заявки на участие в аукционе, требования к описанию товаров (в том числе требования к максимальным, минимальным, неизменным значениям): Описание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товаров, предлагаемых участником закупки для поставки или использования производится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по полному перечню показателей, установленных в Техническом задании (Раздел III) настоящей документации об электронном аукционе.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осстановлены потребительские свойства).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случае если в Техническом зада присутствуют ГОСТ или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СНиП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при составлении заявки участнику следует применять и указывать действующие.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Техническое задание размещено отдельным файлом документации в единой информационной системе и является неотъемлемой частью документации об электронном аукционе. Заказчик установил требования к материалам, товарам при выполнении работ в соответствии со ст. 31 Федерального закона № 44-ФЗ. Участник закупки обязан указать характеристики в соответствии с техническим заданием, инструкцией по заполнению первой части заявки,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ГОСТами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действующим законодательством.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Далее Заявитель в своем обращении указывает, что в соответствии с пунктом 4.3 ГОСТ 28013-98 "Растворы строительные. Общие технические условия" установлены следующие нормы подвижности по погружению конуса для марки подвижности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Пк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Пк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от 1 см до 4 см включительно;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Пк2: свыше 4 см до 8 см включительно;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Пк3: свыше 8 см до 12 см включительно;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Пк4: свыше 12 см до 14 см включительно.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Учитывая приведенные положения Инструкции и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ГОСТа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Заказчик полагал доступным для понимания необходимость указания участниками торгов марки по подвижности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Пк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выраженной конкретным числом (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Пк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Пк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Пк3 и т.д.).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Кроме этого, УФССП по РО во второй части заявки к участникам торгов не заявил на необходимость предоставления допуска СРО по организации строительства.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Установленные в ходе рассмотрения дела обстоятельства послужили основанием для вынесения комиссией Ростовского УФАС решения от 05.04.2016, которым заказчик признан нарушившим часть 1 статьи 64 и часть 4 статьи 65 закона №44-ФЗ.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согласившись с указанным решением, УФССП по РО обратилось в Арбитражный суд с заявлением.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 частью 1 статья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7" w:tgtFrame="_blank" w:tooltip="АПК РФ &gt;  Раздел III. Производство в арбитражном суде первой инстанции по делам, возникающим из административных и иных публичных правоотношений &gt; Глава 24. Рассмотрение дел об оспаривании ненормативных правовых актов, решений и действий (бездействия) государс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198</w:t>
        </w:r>
      </w:hyperlink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 граждане, организации и иные лица вправе обратиться в арбитражный суд с заявлением о признании недействительными ненормативных правовых актов, незаконными решений и действий (бездействия) органов, осуществляющих публичные полномочия, должностных лиц, если полагают, что оспариваемый ненормативный правовой акт, решение и действие (бездействие) не соответствуют закону или иному нормативному правовому акту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 нарушают их права и законные интересы в сфере предпринимательской и иной экономической деятельности, незаконно возлагают на них какие-либо обязанности, создают иные препятствия для осуществления предпринимательской и иной экономической деятельности.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 частью 4 статьи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8" w:tgtFrame="_blank" w:tooltip="АПК РФ &gt;  Раздел III. Производство в арбитражном суде первой инстанции по делам, возникающим из административных и иных публичных правоотношений &gt; Глава 24. Рассмотрение дел об оспаривании ненормативных правовых актов, решений и действий (бездействия) государс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200</w:t>
        </w:r>
      </w:hyperlink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 при рассмотрении дел об оспаривании ненормативных правовых актов, решений и действий (бездействия) органов, осуществляющих публичные полномочия, должностных лиц арбитражный суд в судебном заседании осуществляет проверку оспариваемого акта или его отдельных положений, оспариваемых решений и действий (бездействия) и устанавливает их соответствие закону или иному нормативному правовому акту, устанавливает наличие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полномочий у органа или лица, которые приняли оспариваемый акт, решение или совершили оспариваемые действия (бездействие), а также устанавливает, нарушают ли оспариваемый акт, решение и действия (бездействие) права и законные интересы заявителя в сфере предпринимательской и иной экономической деятельности.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силу части 2 статьи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9" w:tgtFrame="_blank" w:tooltip="АПК РФ &gt;  Раздел III. Производство в арбитражном суде первой инстанции по делам, возникающим из административных и иных публичных правоотношений &gt; Глава 24. Рассмотрение дел об оспаривании ненормативных правовых актов, решений и действий (бездействия) государс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201</w:t>
        </w:r>
      </w:hyperlink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 арбитражный суд, установив, что оспариваемый ненормативный правовой акт, решение и действия (бездействие) органов, осуществляющих публичные полномочия, должностных лиц не соответствуют закону или иному нормативному правовому акту и нарушают права и законные интересы заявителя в сфере предпринимательской и иной экономической деятельности, принимает решение о признании ненормативного правового акта недействительным, решений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 действий (бездействия)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незаконными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Исходя из положений статей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0" w:tgtFrame="_blank" w:tooltip="АПК РФ &gt;  Раздел III. Производство в арбитражном суде первой инстанции по делам, возникающим из административных и иных публичных правоотношений &gt; Глава 24. Рассмотрение дел об оспаривании ненормативных правовых актов, решений и действий (бездействия) государс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198</w:t>
        </w:r>
      </w:hyperlink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1" w:tgtFrame="_blank" w:tooltip="АПК РФ &gt;  Раздел III. Производство в арбитражном суде первой инстанции по делам, возникающим из административных и иных публичных правоотношений &gt; Глава 24. Рассмотрение дел об оспаривании ненормативных правовых актов, решений и действий (бездействия) государс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201</w:t>
        </w:r>
      </w:hyperlink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 для признания незаконным ненормативного акта органа государственной власти необходимо наличие совокупности двух условий: несоответствия оспариваемого акта закону и нарушение им прав и законных интересов заявителя по делу.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Принимая решение по делу, суд первой инстанции пришел к правильному выводу об отсутствии оснований для удовлетворения требований УФССП по РО, при этом правомерно исходил из следующего.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На основании пункта 1 части 1 статьи 64 Федерального закона от 05.04.2013 N 44-ФЗ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 33 Закона N 44-ФЗ.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Пунктом 1 части 1 статьи 33 Закона N 44-ФЗ предусмотрено,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 подпунктом "б" пункта 1 части 3 статьи 66 Закона о контрактной системе первая часть заявки на участие в электронном аукционе должна содержать конкретные показатели, соответствующие значениям, установленным документацией о таком аукционе.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части 4 статьи 65 Закона N 44-ФЗ в течение двух дней с даты поступления от оператора электронной площадки указанного в части 3 настоящей статьи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запроса</w:t>
      </w:r>
      <w:proofErr w:type="gramStart"/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заказчик размещает в единой информационной системе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разъяснения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положений документации об электронном аукционе с указанием предмета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запроса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но без указания участника такого аукциона, от которого поступил указанный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запрос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при условии, что указанный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запрос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поступил заказчику не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позднее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чем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bookmarkStart w:id="0" w:name="snippet"/>
      <w:r w:rsidRPr="00686282">
        <w:rPr>
          <w:rFonts w:ascii="Arial" w:eastAsia="Times New Roman" w:hAnsi="Arial" w:cs="Arial"/>
          <w:color w:val="3C5F87"/>
          <w:sz w:val="23"/>
          <w:szCs w:val="23"/>
          <w:bdr w:val="none" w:sz="0" w:space="0" w:color="auto" w:frame="1"/>
          <w:lang w:eastAsia="ru-RU"/>
        </w:rPr>
        <w:t>за</w:t>
      </w:r>
      <w:bookmarkEnd w:id="0"/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три дня до даты окончания срока подачи заявок на участие в таком аукционе.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Из материалов дела видно, что в адрес заказчика поступил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запрос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разъяснении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положений документации, который выглядел следующим образом: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I.B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товаре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«Раствор готовый кладочный цементный» есть показатель: Марка по подвижности (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Пк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): Пк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Пк4.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Вопросы: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 .Необходимо ли конкретизировать данный показатель?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2.Означает ли это, что УРЗ должен выбрать одно из значений показателя, а именно Пк1или Пк2 или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ПкЗ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или Пк4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?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3.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Если да, входят ли крайнее значения показателя в допустимые для указания в заявке?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Укажите пункт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инструкции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регламентирующий ситуацию со знаком «-»?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инструкции есть лишь это: В случая, когда знак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«-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разделяет значения диапазонного показателя, знак «-» означает «дефис». Что это дефис и так понятно!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А о необходимости конкретизации данного знака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«-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ни чего ни сказано!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II. В товаре «Замок врезной оцинкованный» есть показатель: Сменный узел цилиндрового замка содержит механизм секретности на основе: штифтов, дисков или пластин.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Вопросы: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1.Необходимо ли выбрать одно из значений характеристики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: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штифтов, дисков или пластин?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Укажите пункт инструкции регламентирующий ситуацию когда после знака «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:»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идут значения характеристики в следующей последовательности: X, Y или Z? Инструкция не предусматривает данную ситуацию!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III. В товаре «Гвозди строительные» есть показатели: «Минимальная высота головки гвоздя» и «Наименьший диаметр головки гвоздя».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Вопрос: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Являются ли слова «Минимальная» и «Наименьший» частью наименования показателей в данных показателях?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IV. В товаре электроды есть рисунок с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показателями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 котором указан знак «≤ ».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Вопрос: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Необходимо ли убирать/конкретизировать данный знак?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V. Необходимо ли УРЗ указывать в первой части заявки показатели и характеристики товаров из локально-сметного расчета? Если да, укажите пункт инструкции указывающий на это.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Просьба ответить по отдельности на все указанные выше вопросы - конкретно - без ссылок на инструкцию, если этого прямо не требует вопрос».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Заказчиком 22.03.2016 г. дан ответ на указанные вопросы следующего содержания: «В соответствии с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3.2.7. документации: Инструкция по подготовке заявки на участие в аукционе, требования к описанию товаров (в том числе требования к максимальным, минимальным, неизменным значениям): Описание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товаров, предлагаемых участником закупки для поставки или использования производится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по полному перечню показателей, установленных в Техническом задании (Раздел III) настоящей документации об электронном аукционе.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случае если в Техническом задании присутствуют ГОСТ или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СНиП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при составлении заявки участнику следует применять и указывать действующие.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Техническое задание размещено отдельным файлом документации в единой информационной системе и является неотъемлемой частью документации об электронном аукционе. Заказчик установил требования к материалам, товарам при выполнении работ в соответствии со ст. 31 Федерального закона № 44-ФЗ. Участник закупки обязан указать характеристики в соответствии с техническим заданием, инструкцией по заполнению первой части заявки,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ГОСТами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действующим законодательством».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E22B0">
        <w:rPr>
          <w:rFonts w:ascii="Arial" w:eastAsia="Times New Roman" w:hAnsi="Arial" w:cs="Arial"/>
          <w:color w:val="000000"/>
          <w:sz w:val="23"/>
          <w:szCs w:val="23"/>
          <w:highlight w:val="green"/>
          <w:shd w:val="clear" w:color="auto" w:fill="FFFFFF"/>
          <w:lang w:eastAsia="ru-RU"/>
        </w:rPr>
        <w:t>Апелляционная коллегия, повторно изучив материалы дела, пришла к выводу, что данное</w:t>
      </w:r>
      <w:r w:rsidRPr="009E22B0">
        <w:rPr>
          <w:rFonts w:ascii="Arial" w:eastAsia="Times New Roman" w:hAnsi="Arial" w:cs="Arial"/>
          <w:color w:val="000000"/>
          <w:sz w:val="23"/>
          <w:highlight w:val="green"/>
          <w:lang w:eastAsia="ru-RU"/>
        </w:rPr>
        <w:t> </w:t>
      </w:r>
      <w:r w:rsidRPr="009E22B0">
        <w:rPr>
          <w:rFonts w:ascii="Arial" w:eastAsia="Times New Roman" w:hAnsi="Arial" w:cs="Arial"/>
          <w:b/>
          <w:bCs/>
          <w:color w:val="333333"/>
          <w:sz w:val="23"/>
          <w:highlight w:val="green"/>
          <w:lang w:eastAsia="ru-RU"/>
        </w:rPr>
        <w:t>разъяснение </w:t>
      </w:r>
      <w:r w:rsidRPr="009E22B0">
        <w:rPr>
          <w:rFonts w:ascii="Arial" w:eastAsia="Times New Roman" w:hAnsi="Arial" w:cs="Arial"/>
          <w:color w:val="000000"/>
          <w:sz w:val="23"/>
          <w:szCs w:val="23"/>
          <w:highlight w:val="green"/>
          <w:shd w:val="clear" w:color="auto" w:fill="FFFFFF"/>
          <w:lang w:eastAsia="ru-RU"/>
        </w:rPr>
        <w:t>аукционной документации не отвечает целям, которым законодателем введена процедура подачи</w:t>
      </w:r>
      <w:r w:rsidRPr="009E22B0">
        <w:rPr>
          <w:rFonts w:ascii="Arial" w:eastAsia="Times New Roman" w:hAnsi="Arial" w:cs="Arial"/>
          <w:color w:val="000000"/>
          <w:sz w:val="23"/>
          <w:highlight w:val="green"/>
          <w:lang w:eastAsia="ru-RU"/>
        </w:rPr>
        <w:t> </w:t>
      </w:r>
      <w:r w:rsidRPr="009E22B0">
        <w:rPr>
          <w:rFonts w:ascii="Arial" w:eastAsia="Times New Roman" w:hAnsi="Arial" w:cs="Arial"/>
          <w:b/>
          <w:bCs/>
          <w:color w:val="333333"/>
          <w:sz w:val="23"/>
          <w:highlight w:val="green"/>
          <w:lang w:eastAsia="ru-RU"/>
        </w:rPr>
        <w:t>запросов </w:t>
      </w:r>
      <w:r w:rsidRPr="009E22B0">
        <w:rPr>
          <w:rFonts w:ascii="Arial" w:eastAsia="Times New Roman" w:hAnsi="Arial" w:cs="Arial"/>
          <w:color w:val="000000"/>
          <w:sz w:val="23"/>
          <w:szCs w:val="23"/>
          <w:highlight w:val="green"/>
          <w:shd w:val="clear" w:color="auto" w:fill="FFFFFF"/>
          <w:lang w:eastAsia="ru-RU"/>
        </w:rPr>
        <w:t>участниками торгов и, соответственно, установлена для Заказчика обязанность подачи на них ответов. Данный ответ не является</w:t>
      </w:r>
      <w:r w:rsidRPr="009E22B0">
        <w:rPr>
          <w:rFonts w:ascii="Arial" w:eastAsia="Times New Roman" w:hAnsi="Arial" w:cs="Arial"/>
          <w:color w:val="000000"/>
          <w:sz w:val="23"/>
          <w:highlight w:val="green"/>
          <w:lang w:eastAsia="ru-RU"/>
        </w:rPr>
        <w:t> </w:t>
      </w:r>
      <w:r w:rsidRPr="009E22B0">
        <w:rPr>
          <w:rFonts w:ascii="Arial" w:eastAsia="Times New Roman" w:hAnsi="Arial" w:cs="Arial"/>
          <w:b/>
          <w:bCs/>
          <w:color w:val="333333"/>
          <w:sz w:val="23"/>
          <w:highlight w:val="green"/>
          <w:lang w:eastAsia="ru-RU"/>
        </w:rPr>
        <w:t>разъяснением </w:t>
      </w:r>
      <w:r w:rsidRPr="009E22B0">
        <w:rPr>
          <w:rFonts w:ascii="Arial" w:eastAsia="Times New Roman" w:hAnsi="Arial" w:cs="Arial"/>
          <w:color w:val="000000"/>
          <w:sz w:val="23"/>
          <w:szCs w:val="23"/>
          <w:highlight w:val="green"/>
          <w:shd w:val="clear" w:color="auto" w:fill="FFFFFF"/>
          <w:lang w:eastAsia="ru-RU"/>
        </w:rPr>
        <w:t>положений документации.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E22B0">
        <w:rPr>
          <w:rFonts w:ascii="Arial" w:eastAsia="Times New Roman" w:hAnsi="Arial" w:cs="Arial"/>
          <w:color w:val="000000"/>
          <w:sz w:val="23"/>
          <w:szCs w:val="23"/>
          <w:highlight w:val="green"/>
          <w:shd w:val="clear" w:color="auto" w:fill="FFFFFF"/>
          <w:lang w:eastAsia="ru-RU"/>
        </w:rPr>
        <w:t>Таким образом, суд первой инстанции пришел к обоснованному выводу, что заказчик, опубликовав ответы</w:t>
      </w:r>
      <w:r w:rsidRPr="009E22B0">
        <w:rPr>
          <w:rFonts w:ascii="Arial" w:eastAsia="Times New Roman" w:hAnsi="Arial" w:cs="Arial"/>
          <w:color w:val="000000"/>
          <w:sz w:val="23"/>
          <w:highlight w:val="green"/>
          <w:lang w:eastAsia="ru-RU"/>
        </w:rPr>
        <w:t> </w:t>
      </w:r>
      <w:r w:rsidRPr="009E22B0">
        <w:rPr>
          <w:rFonts w:ascii="Arial" w:eastAsia="Times New Roman" w:hAnsi="Arial" w:cs="Arial"/>
          <w:b/>
          <w:bCs/>
          <w:color w:val="333333"/>
          <w:sz w:val="23"/>
          <w:highlight w:val="green"/>
          <w:lang w:eastAsia="ru-RU"/>
        </w:rPr>
        <w:t>на запросы </w:t>
      </w:r>
      <w:r w:rsidRPr="009E22B0">
        <w:rPr>
          <w:rFonts w:ascii="Arial" w:eastAsia="Times New Roman" w:hAnsi="Arial" w:cs="Arial"/>
          <w:color w:val="000000"/>
          <w:sz w:val="23"/>
          <w:szCs w:val="23"/>
          <w:highlight w:val="green"/>
          <w:shd w:val="clear" w:color="auto" w:fill="FFFFFF"/>
          <w:lang w:eastAsia="ru-RU"/>
        </w:rPr>
        <w:t>о даче</w:t>
      </w:r>
      <w:r w:rsidRPr="009E22B0">
        <w:rPr>
          <w:rFonts w:ascii="Arial" w:eastAsia="Times New Roman" w:hAnsi="Arial" w:cs="Arial"/>
          <w:color w:val="000000"/>
          <w:sz w:val="23"/>
          <w:highlight w:val="green"/>
          <w:lang w:eastAsia="ru-RU"/>
        </w:rPr>
        <w:t> </w:t>
      </w:r>
      <w:r w:rsidRPr="009E22B0">
        <w:rPr>
          <w:rFonts w:ascii="Arial" w:eastAsia="Times New Roman" w:hAnsi="Arial" w:cs="Arial"/>
          <w:b/>
          <w:bCs/>
          <w:color w:val="333333"/>
          <w:sz w:val="23"/>
          <w:highlight w:val="green"/>
          <w:lang w:eastAsia="ru-RU"/>
        </w:rPr>
        <w:t>разъяснений</w:t>
      </w:r>
      <w:r w:rsidRPr="009E22B0">
        <w:rPr>
          <w:rFonts w:ascii="Arial" w:eastAsia="Times New Roman" w:hAnsi="Arial" w:cs="Arial"/>
          <w:color w:val="000000"/>
          <w:sz w:val="23"/>
          <w:highlight w:val="green"/>
          <w:lang w:eastAsia="ru-RU"/>
        </w:rPr>
        <w:t> </w:t>
      </w:r>
      <w:r w:rsidRPr="009E22B0">
        <w:rPr>
          <w:rFonts w:ascii="Arial" w:eastAsia="Times New Roman" w:hAnsi="Arial" w:cs="Arial"/>
          <w:color w:val="000000"/>
          <w:sz w:val="23"/>
          <w:szCs w:val="23"/>
          <w:highlight w:val="green"/>
          <w:shd w:val="clear" w:color="auto" w:fill="FFFFFF"/>
          <w:lang w:eastAsia="ru-RU"/>
        </w:rPr>
        <w:t xml:space="preserve">положений документации без </w:t>
      </w:r>
      <w:r w:rsidRPr="009E22B0">
        <w:rPr>
          <w:rFonts w:ascii="Arial" w:eastAsia="Times New Roman" w:hAnsi="Arial" w:cs="Arial"/>
          <w:color w:val="000000"/>
          <w:sz w:val="23"/>
          <w:szCs w:val="23"/>
          <w:highlight w:val="green"/>
          <w:shd w:val="clear" w:color="auto" w:fill="FFFFFF"/>
          <w:lang w:eastAsia="ru-RU"/>
        </w:rPr>
        <w:lastRenderedPageBreak/>
        <w:t>указания предмета</w:t>
      </w:r>
      <w:r w:rsidRPr="009E22B0">
        <w:rPr>
          <w:rFonts w:ascii="Arial" w:eastAsia="Times New Roman" w:hAnsi="Arial" w:cs="Arial"/>
          <w:color w:val="000000"/>
          <w:sz w:val="23"/>
          <w:highlight w:val="green"/>
          <w:lang w:eastAsia="ru-RU"/>
        </w:rPr>
        <w:t> </w:t>
      </w:r>
      <w:r w:rsidRPr="009E22B0">
        <w:rPr>
          <w:rFonts w:ascii="Arial" w:eastAsia="Times New Roman" w:hAnsi="Arial" w:cs="Arial"/>
          <w:b/>
          <w:bCs/>
          <w:color w:val="333333"/>
          <w:sz w:val="23"/>
          <w:highlight w:val="green"/>
          <w:lang w:eastAsia="ru-RU"/>
        </w:rPr>
        <w:t>запросов</w:t>
      </w:r>
      <w:proofErr w:type="gramStart"/>
      <w:r w:rsidRPr="009E22B0">
        <w:rPr>
          <w:rFonts w:ascii="Arial" w:eastAsia="Times New Roman" w:hAnsi="Arial" w:cs="Arial"/>
          <w:b/>
          <w:bCs/>
          <w:color w:val="333333"/>
          <w:sz w:val="23"/>
          <w:highlight w:val="green"/>
          <w:lang w:eastAsia="ru-RU"/>
        </w:rPr>
        <w:t> </w:t>
      </w:r>
      <w:r w:rsidRPr="009E22B0">
        <w:rPr>
          <w:rFonts w:ascii="Arial" w:eastAsia="Times New Roman" w:hAnsi="Arial" w:cs="Arial"/>
          <w:color w:val="000000"/>
          <w:sz w:val="23"/>
          <w:szCs w:val="23"/>
          <w:highlight w:val="green"/>
          <w:shd w:val="clear" w:color="auto" w:fill="FFFFFF"/>
          <w:lang w:eastAsia="ru-RU"/>
        </w:rPr>
        <w:t>,</w:t>
      </w:r>
      <w:proofErr w:type="gramEnd"/>
      <w:r w:rsidRPr="009E22B0">
        <w:rPr>
          <w:rFonts w:ascii="Arial" w:eastAsia="Times New Roman" w:hAnsi="Arial" w:cs="Arial"/>
          <w:color w:val="000000"/>
          <w:sz w:val="23"/>
          <w:szCs w:val="23"/>
          <w:highlight w:val="green"/>
          <w:shd w:val="clear" w:color="auto" w:fill="FFFFFF"/>
          <w:lang w:eastAsia="ru-RU"/>
        </w:rPr>
        <w:t xml:space="preserve"> без полного ответа, нарушил положения части 4 статьи 65 Закона N 44-ФЗ.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Также УФССП по РО в апелляционной жалобе указывает на то, что не согласно с решением Ростовского УФАС России относительно признания Заказчика нарушившим ч. 1 ст. 64 Закона в части установления противоречивых требований в Инструкции по заполнению заявки на участие в аукционе, что не позволяет определить потребность Заказчика, а также надлежащим образом подготовить заявку на участие в аукционе.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Пунктом 2 части 1 статьи 64 Закона установлено, что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и инструкцию по ее заполнению.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составе документации представлена инструкция по заполнению заявок. Обязанность Заказчика по подготовке данного раздела документации (инструкции) обусловлена необходимостью достижения упорядочения и приведения к единообразию в понимании требований Заказчика как к составу и содержанию заявки на участие в аукционе, так требований к самому товару (показателям его характеризующим). Инструкция по данной закупке не отвечает названным принципам Закона.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 в товаре «раствор готовый кладочный цементный» Заказчиком указана марка по подвижности (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Пк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): Пк1-Пк4.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Инструкции Заказчиком указано, что в случае, когда знак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«-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разделяет значения диапазонного показателя, знак «-» означает «дефис».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Показатели товаров, которые не сопровождаются знаками или словами, обозначающими неконкретные значения показателей, обозначающими диапазонные значения, обозначающими интервальные значения и их производные, а также наименования показателей используемого при выполнении работ товара, являются неизменными, которые участник указывает в заявке в полном соответствии с указанием в документации об аукционе.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 конкретизации знака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«-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или «дефиса» Заказчиком в Инструкции не указано.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Исходя из Инструкции, участнику закупки невозможно сделать вывод о необходимости конкретизации показателя, либо об оставлении его без изменения (в частности, по приведенной позиции).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Требования Инструкции вводят участников закупки в заблуждение при подготовке заявки на участие в аукционе.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Данное обстоятельство послужило причиной обращения Заявителя с жалобой в Ростовское УФАС России.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Таким образом, УФССП по РО установив противоречивые требования в Инструкции к заполнению заявки на участие в аукционе, которые не позволяют определить потребность Заказчика, а также надлежащим образом подготовить заявку на участие в аукционе, свидетельствует о нарушении Заказчиком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.1 ст.64 Закона.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УФССП по РО в апелляционной жалобе приводит следующие положения Инструкции: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«Участник закупки в первой части заявки на участие в открытом аукционе в 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электронной форме указывает конкретные показатели, предлагаемых для использования при выполнении работ товаров, соответствующие требованиям к характеристикам и значениям показателей, предусмотренных во всех составляющих Технического задания документации об открытом аукционе в электронной форме (Раздел III).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Указанные участником показатели товара, используемого при выполнении работ, характеристики применяемых материалов должны быть конкретными, четкими, однозначными и не допускать двусмысленного толкования за исключением случаев, когда это допустимо в соответствии с технической документацией производителя и действующими государственными стандартами РФ.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допускается указание участником закупки в заявке неконкретных значений (в том числе диапазона значений) из технических регламентов и стандартов вместо конкретных показателей, за исключением случаев, когда показатель подобным образом указан в технической документации производителя.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Если настоящей документацией не предусмотрено иное, все размеры товаров, используемых для выполнения работ, указаны в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мм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.».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Далее заявитель указывает, что в соответствии с пунктом 4.3 ГОСТ 28013-98 "Растворы строительные. Общие технические условия" установлены следующие нормы подвижности по погружению конуса для марки подвижности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Пк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Пк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от 1 см до 4 см включительно;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Пк2: свыше 4 см до 8 см включительно;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для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ПкЗ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свыше 8 см до 12 см включительно;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Пк4: свыше 12 см до 14 см включительно.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Учитывая приведенные положения Инструкции и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ГОСТа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Управление полагает доступным для понимания необходимость указания участниками торгов марки по подвижности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Пк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выраженной конкретным числом (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Пк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Пк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ПкЗ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 т.д.).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Данный довод жалобы подлежит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отклонении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поскольку совокупность всех положений Инструкции не позволяет однозначным образом определить требования Заказчика.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Инструкция как раздел, содержащий правила, указания, руководства, устанавливающие порядок и способ выполнения или осуществления чего-либо, не должна иметь возможности двойного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трактования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В данном случае, Инструкция не отвечает своим целям.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Еще одним доводом жалобы является отсутствие необходимости предоставления допуска СРО по организации строительства.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Данный довод жалобы мотивирован тем, что к участникам торгов установлено требование о соответствии требованиям, установленным в соответствии с законодательством Российской Федерации к лицам, осуществляющим выполнение работы, являющейся объектом закупки; виды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строительства, должны выполняться только индивидуальными предпринимателями или юридическими лицами, имеющими выданные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саморегулируемой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организацией свидетельства о допуске к таким видам 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работ;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Таким образом, представление участниками торгов допуска СРО обязательно. Законом не предусмотрена обязанность конкретизировать в документации требования, которые императивно предписаны действующим законодательством.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Данный довод отклоняется апелляционной коллегией по следующим основаниям.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соответствии с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.1 ст.64 Закона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 п. 2) ч. 5 ст. 66 Закона вторая часть заявки в электронном аукционе должна содержать документы, подтверждающие соответствие участника такого аукциона требованиям, установленным пунктом 1 части 1 и частью 2 статьи 31 (при наличии таких требований) настоящего Федерального закона, или копии этих документов, а также декларация о соответствии участника такого аукциона требованиям, установленным пунктами 3 - 9 части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1 статьи 31 настоящего Федерального закона.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соответствии с п. 1) ч. 1 ст. 31 Закона при осуществлении закупки заказчик устанавливает единые требования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являющихся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объектом закупки.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Таким образом, ст. ст. 64, 66 Закона прямо предусмотрено указание в документации об аукционе документов, подтверждающих соответствие участников аукциона требованиям, установленным в соответствии с законодательством Российской Федерации к лицам, осуществляющим выполнение работы, являющейся объектом закупки.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При таких обстоятельствах Заказчиком не была исполнена обязанность по указанию в документации об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аукционе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 необходимости представления участниками торгов в составе второй части заявки допуска СРО по организации строительства (сама по себе необходимость представления допуска СРО Заявителем не оспаривается).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Учитывая все вышеизложенное суд апелляционной инстанции приходит к выводу, что у антимонопольного органа имелось </w:t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достаточно правовых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оснований для вынесения оспариваемого решения № 588/03 от 05.04.2016.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Доводы, изложенные в апелляционной жалобе, фактически повторяют приведенные при рассмотрении в суде первой инстанции и не свидетельствуют о незаконности решения суда, поскольку, не опровергая выводов суда первой инстанции, сводятся лишь к несогласию с оценкой судом первой инстанции установленных обстоятельств по делу и имеющихся в деле доказательств, что не может рассматриваться в качестве основания для отмены судебного акта.</w:t>
      </w:r>
      <w:proofErr w:type="gramEnd"/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Оснований для переоценки выводов и доказательств, которые при рассмотрении дела были исследованы и оценены судом первой инстанции с соблюдением требований статьи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2" w:tgtFrame="_blank" w:tooltip="АПК РФ &gt;  Раздел I. Общие положения &gt; Глава 7. Доказательства и доказывание &gt; Статья 71. Оценка доказательств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71 АПК РФ</w:t>
        </w:r>
      </w:hyperlink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не имеется.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Нарушений или неправильного применения норм материального или процессуального права, являющихся в силу статьи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3" w:tgtFrame="_blank" w:tooltip="АПК РФ &gt;  Раздел VI. Производство по пересмотру судебных актов арбитражных судов &gt; Глава 34. Производство в арбитражном суде апелляционной инстанции &gt; Статья 270. Основания для изменения или отмены решения арбитражного суда первой инстанции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270 АПК РФ</w:t>
        </w:r>
      </w:hyperlink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основанием к отмене или изменению обжалуемого судебного акта, судом апелляционной инстанции не 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установлено.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основании изложенного, руководствуясь статьями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4" w:tgtFrame="_blank" w:tooltip="АПК РФ &gt;  Раздел VI. Производство по пересмотру судебных актов арбитражных судов &gt; Глава 34. Производство в арбитражном суде апелляционной инстанции &gt; Статья 258. Арбитражный суд апелляционной инстанции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258</w:t>
        </w:r>
      </w:hyperlink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5" w:tgtFrame="_blank" w:tooltip="АПК РФ &gt;  Раздел VI. Производство по пересмотру судебных актов арбитражных судов &gt; Глава 34. Производство в арбитражном суде апелляционной инстанции &gt; Статья 269. Полномочия арбитражного суда апелляционной инстанции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269</w:t>
        </w:r>
      </w:hyperlink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6" w:tgtFrame="_blank" w:tooltip="АПК РФ &gt;  Раздел VI. Производство по пересмотру судебных актов арбитражных судов &gt; Глава 34. Производство в арбитражном суде апелляционной инстанции &gt; Статья 271. Постановление арбитражного суда апелляционной инстанции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271</w:t>
        </w:r>
      </w:hyperlink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Федерации, арбитражный суд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686282" w:rsidRPr="00686282" w:rsidRDefault="00686282" w:rsidP="00686282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68628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ПОСТАНОВИЛ:</w:t>
      </w:r>
    </w:p>
    <w:p w:rsidR="00686282" w:rsidRPr="00686282" w:rsidRDefault="00686282" w:rsidP="006862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решение Арбитражного суда Ростовской области от 14.07.2016 по делу А53-13490/2016 оставить без изменения, апелляционную жалобу – без удовлетворения.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 частью 5 статьи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7" w:tgtFrame="_blank" w:tooltip="АПК РФ &gt;  Раздел VI. Производство по пересмотру судебных актов арбитражных судов &gt; Глава 34. Производство в арбитражном суде апелляционной инстанции &gt; Статья 271. Постановление арбитражного суда апелляционной инстанции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271</w:t>
        </w:r>
      </w:hyperlink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частью 1 статьи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8" w:tgtFrame="_blank" w:tooltip="АПК РФ &gt;  Раздел VI. Производство по пересмотру судебных актов арбитражных судов &gt; Глава 34. Производство в арбитражном суде апелляционной инстанции &gt; Статья 266. Порядок рассмотрения дела арбитражным судом апелляционной инстанции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266</w:t>
        </w:r>
      </w:hyperlink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частью 2 статьи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9" w:tgtFrame="_blank" w:tooltip="АПК РФ &gt;  Раздел II. Производство в арбитражном суде первой инстанции. Исковое производство &gt; Глава 20. Решение арбитражного суда &gt; Статья 176. Объявление решения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176</w:t>
        </w:r>
      </w:hyperlink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 постановление арбитражного суда апелляционной инстанции вступает в законную силу со дня его принятия.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Постановление может быть обжаловано в порядке, определенном главой 35 Арбитражного процессуального кодекса Российской Федерации, в Арбитражный суд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Северо-Кавказского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округа.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Председательствующий М.В. Соловьева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Судьи Н.Н.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Смотрова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Г.А. 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Сурмалян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686282" w:rsidRPr="00686282" w:rsidRDefault="00686282" w:rsidP="00686282">
      <w:pPr>
        <w:spacing w:before="450" w:after="150" w:line="351" w:lineRule="atLeast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</w:pPr>
      <w:r w:rsidRPr="006862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Суд:</w:t>
      </w:r>
    </w:p>
    <w:p w:rsidR="00686282" w:rsidRPr="00686282" w:rsidRDefault="00686282" w:rsidP="006862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15 ААС (Пятнадцатый арбитражный апелляционный суд)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0" w:tgtFrame="_blank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(подробнее)</w:t>
        </w:r>
      </w:hyperlink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686282" w:rsidRPr="00686282" w:rsidRDefault="00686282" w:rsidP="00686282">
      <w:pPr>
        <w:spacing w:before="450" w:after="150" w:line="351" w:lineRule="atLeast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</w:pPr>
      <w:r w:rsidRPr="006862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Истцы:</w:t>
      </w:r>
    </w:p>
    <w:p w:rsidR="00686282" w:rsidRPr="00686282" w:rsidRDefault="00686282" w:rsidP="006862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УПРАВЛЕНИЕ ФЕДЕРАЛЬНОЙ СЛУЖБЫ СУДЕБНЫХ ПРИСТАВОВ ПО РОСТОВСКОЙ ОБЛАСТИ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1" w:tgtFrame="_blank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(подробнее)</w:t>
        </w:r>
      </w:hyperlink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686282" w:rsidRPr="00686282" w:rsidRDefault="00686282" w:rsidP="00686282">
      <w:pPr>
        <w:spacing w:before="450" w:after="150" w:line="351" w:lineRule="atLeast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</w:pPr>
      <w:r w:rsidRPr="006862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Ответчики:</w:t>
      </w:r>
    </w:p>
    <w:p w:rsidR="00686282" w:rsidRPr="00686282" w:rsidRDefault="00686282" w:rsidP="006862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Управление Федеральной антимонопольной службы по Ростовской области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2" w:tgtFrame="_blank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(подробнее)</w:t>
        </w:r>
      </w:hyperlink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УФАС по РО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3" w:tgtFrame="_blank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(подробнее)</w:t>
        </w:r>
      </w:hyperlink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686282" w:rsidRPr="00686282" w:rsidRDefault="00686282" w:rsidP="00686282">
      <w:pPr>
        <w:spacing w:before="450" w:after="150" w:line="351" w:lineRule="atLeast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</w:pPr>
      <w:r w:rsidRPr="006862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Иные лица:</w:t>
      </w:r>
    </w:p>
    <w:p w:rsidR="00686282" w:rsidRPr="00686282" w:rsidRDefault="00686282" w:rsidP="006862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ЗАО "СБЕРБАНК-АВТОМАТИЗИРОВАННАЯ СИСТЕМА ТОРГОВ"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4" w:tgtFrame="_blank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(подробнее)</w:t>
        </w:r>
      </w:hyperlink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ЗАО "</w:t>
      </w:r>
      <w:proofErr w:type="spellStart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Сбербанк-АСТ</w:t>
      </w:r>
      <w:proofErr w:type="spellEnd"/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5" w:tgtFrame="_blank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(подробнее)</w:t>
        </w:r>
      </w:hyperlink>
      <w:r w:rsidRPr="0068628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862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Лукаш Алексей Владимирович</w:t>
      </w:r>
      <w:r w:rsidRPr="00686282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6" w:tgtFrame="_blank" w:history="1">
        <w:r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(подробнее)</w:t>
        </w:r>
      </w:hyperlink>
    </w:p>
    <w:p w:rsidR="00686282" w:rsidRPr="00686282" w:rsidRDefault="00686282" w:rsidP="00686282">
      <w:pPr>
        <w:spacing w:after="0" w:line="351" w:lineRule="atLeast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</w:pPr>
      <w:r w:rsidRPr="006862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Последние документы по делу:</w:t>
      </w:r>
      <w:bookmarkStart w:id="1" w:name="case_item"/>
      <w:bookmarkEnd w:id="1"/>
    </w:p>
    <w:p w:rsidR="00686282" w:rsidRPr="00686282" w:rsidRDefault="00205EB0" w:rsidP="00686282">
      <w:pPr>
        <w:spacing w:after="0" w:line="37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7" w:anchor="top" w:history="1">
        <w:proofErr w:type="gramStart"/>
        <w:r w:rsidR="00686282" w:rsidRPr="00686282">
          <w:rPr>
            <w:rFonts w:ascii="Arial" w:eastAsia="Times New Roman" w:hAnsi="Arial" w:cs="Arial"/>
            <w:b/>
            <w:bCs/>
            <w:color w:val="8859A8"/>
            <w:sz w:val="23"/>
            <w:u w:val="single"/>
            <w:lang w:eastAsia="ru-RU"/>
          </w:rPr>
          <w:t>Постановление от 14 сентября 2016 г. по делу № А53-13490/2016</w:t>
        </w:r>
      </w:hyperlink>
      <w:r w:rsidR="00686282" w:rsidRPr="0068628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28" w:tgtFrame="_blank" w:history="1">
        <w:r w:rsidR="00686282"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Определение от 4 августа 2016 г. по делу № А53-13490/2016</w:t>
        </w:r>
      </w:hyperlink>
      <w:r w:rsidR="00686282" w:rsidRPr="0068628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29" w:tgtFrame="_blank" w:history="1">
        <w:r w:rsidR="00686282"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Решение от 14 июля 2016 г. по делу № А53-13490/2016</w:t>
        </w:r>
        <w:proofErr w:type="gramEnd"/>
      </w:hyperlink>
      <w:r w:rsidR="00686282" w:rsidRPr="0068628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30" w:tgtFrame="_blank" w:history="1">
        <w:r w:rsidR="00686282"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Резолютивная часть решения от 13 июля 2016 г. по делу № А53-13490/2016</w:t>
        </w:r>
      </w:hyperlink>
      <w:r w:rsidR="00686282" w:rsidRPr="0068628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31" w:tgtFrame="_blank" w:history="1">
        <w:r w:rsidR="00686282"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Определение от 28 июня 2016 г. по делу № А53-13490/2016</w:t>
        </w:r>
      </w:hyperlink>
      <w:r w:rsidR="00686282" w:rsidRPr="0068628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32" w:tgtFrame="_blank" w:history="1">
        <w:r w:rsidR="00686282" w:rsidRPr="00686282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Определение от 25 мая 2016 г. по делу № А53-13490/2016</w:t>
        </w:r>
      </w:hyperlink>
    </w:p>
    <w:p w:rsidR="00207DAE" w:rsidRDefault="00207DAE"/>
    <w:sectPr w:rsidR="00207DAE" w:rsidSect="00207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6282"/>
    <w:rsid w:val="00205EB0"/>
    <w:rsid w:val="00207DAE"/>
    <w:rsid w:val="00686282"/>
    <w:rsid w:val="009E2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DAE"/>
  </w:style>
  <w:style w:type="paragraph" w:styleId="1">
    <w:name w:val="heading 1"/>
    <w:basedOn w:val="a"/>
    <w:link w:val="10"/>
    <w:uiPriority w:val="9"/>
    <w:qFormat/>
    <w:rsid w:val="006862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862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62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86282"/>
    <w:rPr>
      <w:color w:val="0000FF"/>
      <w:u w:val="single"/>
    </w:rPr>
  </w:style>
  <w:style w:type="character" w:customStyle="1" w:styleId="apple-converted-space">
    <w:name w:val="apple-converted-space"/>
    <w:basedOn w:val="a0"/>
    <w:rsid w:val="00686282"/>
  </w:style>
  <w:style w:type="character" w:customStyle="1" w:styleId="snippetequal">
    <w:name w:val="snippet_equal"/>
    <w:basedOn w:val="a0"/>
    <w:rsid w:val="006862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9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5055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apk-rf/razdel-iii/glava-24/statia-200/?marker=fdoctlaw" TargetMode="External"/><Relationship Id="rId13" Type="http://schemas.openxmlformats.org/officeDocument/2006/relationships/hyperlink" Target="http://sudact.ru/law/apk-rf/razdel-vi/glava-34/statia-270/?marker=fdoctlaw" TargetMode="External"/><Relationship Id="rId18" Type="http://schemas.openxmlformats.org/officeDocument/2006/relationships/hyperlink" Target="http://sudact.ru/law/apk-rf/razdel-vi/glava-34/statia-266/?marker=fdoctlaw" TargetMode="External"/><Relationship Id="rId26" Type="http://schemas.openxmlformats.org/officeDocument/2006/relationships/hyperlink" Target="http://sudact.ru/arbitral/participant/VGPWgKeWwFxP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sudact.ru/arbitral/participant/ZsCWt3PE5oUr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sudact.ru/law/apk-rf/razdel-iii/glava-24/statia-198/?marker=fdoctlaw" TargetMode="External"/><Relationship Id="rId12" Type="http://schemas.openxmlformats.org/officeDocument/2006/relationships/hyperlink" Target="http://sudact.ru/law/apk-rf/razdel-i/glava-7/statia-71/?marker=fdoctlaw" TargetMode="External"/><Relationship Id="rId17" Type="http://schemas.openxmlformats.org/officeDocument/2006/relationships/hyperlink" Target="http://sudact.ru/law/apk-rf/razdel-vi/glava-34/statia-271/?marker=fdoctlaw" TargetMode="External"/><Relationship Id="rId25" Type="http://schemas.openxmlformats.org/officeDocument/2006/relationships/hyperlink" Target="http://sudact.ru/arbitral/participant/nzo4xkJXZ5Nj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sudact.ru/law/apk-rf/razdel-vi/glava-34/statia-271/?marker=fdoctlaw" TargetMode="External"/><Relationship Id="rId20" Type="http://schemas.openxmlformats.org/officeDocument/2006/relationships/hyperlink" Target="http://sudact.ru/arbitral/court/WhddkeDaN1x0/" TargetMode="External"/><Relationship Id="rId29" Type="http://schemas.openxmlformats.org/officeDocument/2006/relationships/hyperlink" Target="http://sudact.ru/arbitral/doc/7HUi9K6bszQm/?page=2&amp;arbitral-judge=&amp;arbitral-court=&amp;arbitral-case_doc=&amp;arbitral-doc_type=1002&amp;arbitral-date_from=&amp;arbitral-participant=%D0%A3%D0%BF%D1%80%D0%B0%D0%B2%D0%BB%D0%B5%D0%BD%D0%B8%D0%B5+%D0%A4%D0%B5%D0%B4%D0%B5%D1%80%D0%B0%D0%BB%D1%8C%D0%BD%D0%BE%D0%B9+%D0%90%D0%BD%D1%82%D0%B8%D0%BC%D0%BE%D0%BD%D0%BE%D0%BF%D0%BE%D0%BB%D1%8C%D0%BD%D0%BE%D0%B9+%D1%81%D0%BB%D1%83%D0%B6%D0%B1%D1%8B+%D0%BF%D0%BE&amp;arbitral-txt=+%D1%82%D0%B5%D0%BA%D1%81%D1%82%D0%B0+%D0%B7%D0%B0%D0%BF%D1%80%D0%BE%D1%81%D0%B0+%D0%BD%D0%B0+%D1%80%D0%B0%D0%B7%D1%8A%D1%8F%D1%81%D0%BD%D0%B5%D0%BD%D0%B8%D0%B5&amp;arbitral-date_to=&amp;_=1490360501285&amp;arbitral-region=&amp;snippet_pos=4590" TargetMode="External"/><Relationship Id="rId1" Type="http://schemas.openxmlformats.org/officeDocument/2006/relationships/styles" Target="styles.xml"/><Relationship Id="rId6" Type="http://schemas.openxmlformats.org/officeDocument/2006/relationships/hyperlink" Target="http://sudact.ru/law/apk-rf/razdel-ii/glava-19/statia-156/?marker=fdoctlaw" TargetMode="External"/><Relationship Id="rId11" Type="http://schemas.openxmlformats.org/officeDocument/2006/relationships/hyperlink" Target="http://sudact.ru/law/apk-rf/razdel-iii/glava-24/statia-201/?marker=fdoctlaw" TargetMode="External"/><Relationship Id="rId24" Type="http://schemas.openxmlformats.org/officeDocument/2006/relationships/hyperlink" Target="http://sudact.ru/arbitral/participant/i6V9vT6B6MmQ/" TargetMode="External"/><Relationship Id="rId32" Type="http://schemas.openxmlformats.org/officeDocument/2006/relationships/hyperlink" Target="http://sudact.ru/arbitral/doc/GGZFsQ1r1j1f/?page=2&amp;arbitral-judge=&amp;arbitral-court=&amp;arbitral-case_doc=&amp;arbitral-doc_type=1002&amp;arbitral-date_from=&amp;arbitral-participant=%D0%A3%D0%BF%D1%80%D0%B0%D0%B2%D0%BB%D0%B5%D0%BD%D0%B8%D0%B5+%D0%A4%D0%B5%D0%B4%D0%B5%D1%80%D0%B0%D0%BB%D1%8C%D0%BD%D0%BE%D0%B9+%D0%90%D0%BD%D1%82%D0%B8%D0%BC%D0%BE%D0%BD%D0%BE%D0%BF%D0%BE%D0%BB%D1%8C%D0%BD%D0%BE%D0%B9+%D1%81%D0%BB%D1%83%D0%B6%D0%B1%D1%8B+%D0%BF%D0%BE&amp;arbitral-txt=+%D1%82%D0%B5%D0%BA%D1%81%D1%82%D0%B0+%D0%B7%D0%B0%D0%BF%D1%80%D0%BE%D1%81%D0%B0+%D0%BD%D0%B0+%D1%80%D0%B0%D0%B7%D1%8A%D1%8F%D1%81%D0%BD%D0%B5%D0%BD%D0%B8%D0%B5&amp;arbitral-date_to=&amp;_=1490360501285&amp;arbitral-region=&amp;snippet_pos=4590" TargetMode="External"/><Relationship Id="rId5" Type="http://schemas.openxmlformats.org/officeDocument/2006/relationships/hyperlink" Target="http://sudact.ru/law/apk-rf/razdel-i/glava-5/statia-49/?marker=fdoctlaw" TargetMode="External"/><Relationship Id="rId15" Type="http://schemas.openxmlformats.org/officeDocument/2006/relationships/hyperlink" Target="http://sudact.ru/law/apk-rf/razdel-vi/glava-34/statia-269/?marker=fdoctlaw" TargetMode="External"/><Relationship Id="rId23" Type="http://schemas.openxmlformats.org/officeDocument/2006/relationships/hyperlink" Target="http://sudact.ru/arbitral/participant/FU7mso01ITog/" TargetMode="External"/><Relationship Id="rId28" Type="http://schemas.openxmlformats.org/officeDocument/2006/relationships/hyperlink" Target="http://sudact.ru/arbitral/doc/3cjjqKc7eQlV/?page=2&amp;arbitral-judge=&amp;arbitral-court=&amp;arbitral-case_doc=&amp;arbitral-doc_type=1002&amp;arbitral-date_from=&amp;arbitral-participant=%D0%A3%D0%BF%D1%80%D0%B0%D0%B2%D0%BB%D0%B5%D0%BD%D0%B8%D0%B5+%D0%A4%D0%B5%D0%B4%D0%B5%D1%80%D0%B0%D0%BB%D1%8C%D0%BD%D0%BE%D0%B9+%D0%90%D0%BD%D1%82%D0%B8%D0%BC%D0%BE%D0%BD%D0%BE%D0%BF%D0%BE%D0%BB%D1%8C%D0%BD%D0%BE%D0%B9+%D1%81%D0%BB%D1%83%D0%B6%D0%B1%D1%8B+%D0%BF%D0%BE&amp;arbitral-txt=+%D1%82%D0%B5%D0%BA%D1%81%D1%82%D0%B0+%D0%B7%D0%B0%D0%BF%D1%80%D0%BE%D1%81%D0%B0+%D0%BD%D0%B0+%D1%80%D0%B0%D0%B7%D1%8A%D1%8F%D1%81%D0%BD%D0%B5%D0%BD%D0%B8%D0%B5&amp;arbitral-date_to=&amp;_=1490360501285&amp;arbitral-region=&amp;snippet_pos=4590" TargetMode="External"/><Relationship Id="rId10" Type="http://schemas.openxmlformats.org/officeDocument/2006/relationships/hyperlink" Target="http://sudact.ru/law/apk-rf/razdel-iii/glava-24/statia-198/?marker=fdoctlaw" TargetMode="External"/><Relationship Id="rId19" Type="http://schemas.openxmlformats.org/officeDocument/2006/relationships/hyperlink" Target="http://sudact.ru/law/apk-rf/razdel-ii/glava-20/statia-176/?marker=fdoctlaw" TargetMode="External"/><Relationship Id="rId31" Type="http://schemas.openxmlformats.org/officeDocument/2006/relationships/hyperlink" Target="http://sudact.ru/arbitral/doc/7IMS9JCdqsxX/?page=2&amp;arbitral-judge=&amp;arbitral-court=&amp;arbitral-case_doc=&amp;arbitral-doc_type=1002&amp;arbitral-date_from=&amp;arbitral-participant=%D0%A3%D0%BF%D1%80%D0%B0%D0%B2%D0%BB%D0%B5%D0%BD%D0%B8%D0%B5+%D0%A4%D0%B5%D0%B4%D0%B5%D1%80%D0%B0%D0%BB%D1%8C%D0%BD%D0%BE%D0%B9+%D0%90%D0%BD%D1%82%D0%B8%D0%BC%D0%BE%D0%BD%D0%BE%D0%BF%D0%BE%D0%BB%D1%8C%D0%BD%D0%BE%D0%B9+%D1%81%D0%BB%D1%83%D0%B6%D0%B1%D1%8B+%D0%BF%D0%BE&amp;arbitral-txt=+%D1%82%D0%B5%D0%BA%D1%81%D1%82%D0%B0+%D0%B7%D0%B0%D0%BF%D1%80%D0%BE%D1%81%D0%B0+%D0%BD%D0%B0+%D1%80%D0%B0%D0%B7%D1%8A%D1%8F%D1%81%D0%BD%D0%B5%D0%BD%D0%B8%D0%B5&amp;arbitral-date_to=&amp;_=1490360501285&amp;arbitral-region=&amp;snippet_pos=4590" TargetMode="External"/><Relationship Id="rId4" Type="http://schemas.openxmlformats.org/officeDocument/2006/relationships/hyperlink" Target="http://sudact.ru/arbitral/court/WhddkeDaN1x0/" TargetMode="External"/><Relationship Id="rId9" Type="http://schemas.openxmlformats.org/officeDocument/2006/relationships/hyperlink" Target="http://sudact.ru/law/apk-rf/razdel-iii/glava-24/statia-201/?marker=fdoctlaw" TargetMode="External"/><Relationship Id="rId14" Type="http://schemas.openxmlformats.org/officeDocument/2006/relationships/hyperlink" Target="http://sudact.ru/law/apk-rf/razdel-vi/glava-34/statia-258/?marker=fdoctlaw" TargetMode="External"/><Relationship Id="rId22" Type="http://schemas.openxmlformats.org/officeDocument/2006/relationships/hyperlink" Target="http://sudact.ru/arbitral/participant/rznZV7KEzYgR/" TargetMode="External"/><Relationship Id="rId27" Type="http://schemas.openxmlformats.org/officeDocument/2006/relationships/hyperlink" Target="http://sudact.ru/arbitral/doc/oUr6ugEzJDVQ/?page=2&amp;arbitral-judge=&amp;arbitral-court=&amp;arbitral-case_doc=&amp;arbitral-doc_type=1002&amp;arbitral-date_from=&amp;arbitral-participant=%D0%A3%D0%BF%D1%80%D0%B0%D0%B2%D0%BB%D0%B5%D0%BD%D0%B8%D0%B5+%D0%A4%D0%B5%D0%B4%D0%B5%D1%80%D0%B0%D0%BB%D1%8C%D0%BD%D0%BE%D0%B9+%D0%90%D0%BD%D1%82%D0%B8%D0%BC%D0%BE%D0%BD%D0%BE%D0%BF%D0%BE%D0%BB%D1%8C%D0%BD%D0%BE%D0%B9+%D1%81%D0%BB%D1%83%D0%B6%D0%B1%D1%8B+%D0%BF%D0%BE&amp;arbitral-txt=+%D1%82%D0%B5%D0%BA%D1%81%D1%82%D0%B0+%D0%B7%D0%B0%D0%BF%D1%80%D0%BE%D1%81%D0%B0+%D0%BD%D0%B0+%D1%80%D0%B0%D0%B7%D1%8A%D1%8F%D1%81%D0%BD%D0%B5%D0%BD%D0%B8%D0%B5&amp;arbitral-date_to=&amp;_=1490360501285&amp;arbitral-region=&amp;snippet_pos=4590" TargetMode="External"/><Relationship Id="rId30" Type="http://schemas.openxmlformats.org/officeDocument/2006/relationships/hyperlink" Target="http://sudact.ru/arbitral/doc/8dHmN8ejwzZ1/?page=2&amp;arbitral-judge=&amp;arbitral-court=&amp;arbitral-case_doc=&amp;arbitral-doc_type=1002&amp;arbitral-date_from=&amp;arbitral-participant=%D0%A3%D0%BF%D1%80%D0%B0%D0%B2%D0%BB%D0%B5%D0%BD%D0%B8%D0%B5+%D0%A4%D0%B5%D0%B4%D0%B5%D1%80%D0%B0%D0%BB%D1%8C%D0%BD%D0%BE%D0%B9+%D0%90%D0%BD%D1%82%D0%B8%D0%BC%D0%BE%D0%BD%D0%BE%D0%BF%D0%BE%D0%BB%D1%8C%D0%BD%D0%BE%D0%B9+%D1%81%D0%BB%D1%83%D0%B6%D0%B1%D1%8B+%D0%BF%D0%BE&amp;arbitral-txt=+%D1%82%D0%B5%D0%BA%D1%81%D1%82%D0%B0+%D0%B7%D0%B0%D0%BF%D1%80%D0%BE%D1%81%D0%B0+%D0%BD%D0%B0+%D1%80%D0%B0%D0%B7%D1%8A%D1%8F%D1%81%D0%BD%D0%B5%D0%BD%D0%B8%D0%B5&amp;arbitral-date_to=&amp;_=1490360501285&amp;arbitral-region=&amp;snippet_pos=45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5627</Words>
  <Characters>32079</Characters>
  <Application>Microsoft Office Word</Application>
  <DocSecurity>0</DocSecurity>
  <Lines>267</Lines>
  <Paragraphs>75</Paragraphs>
  <ScaleCrop>false</ScaleCrop>
  <Company/>
  <LinksUpToDate>false</LinksUpToDate>
  <CharactersWithSpaces>37631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Пётр</cp:lastModifiedBy>
  <cp:revision>3</cp:revision>
  <dcterms:created xsi:type="dcterms:W3CDTF">2017-03-24T13:04:00Z</dcterms:created>
  <dcterms:modified xsi:type="dcterms:W3CDTF">2017-03-24T13:40:00Z</dcterms:modified>
</cp:coreProperties>
</file>