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BFF" w:rsidRDefault="00F33BFF">
      <w:pPr>
        <w:pStyle w:val="1"/>
      </w:pPr>
      <w:hyperlink r:id="rId7" w:history="1">
        <w:r w:rsidR="00E65816">
          <w:rPr>
            <w:rStyle w:val="a4"/>
            <w:b/>
            <w:bCs/>
          </w:rPr>
          <w:t>Энциклопедия решений. Совокупный годовой объем закупок по Закону N 44-ФЗ</w:t>
        </w:r>
      </w:hyperlink>
    </w:p>
    <w:p w:rsidR="00F33BFF" w:rsidRDefault="00E65816">
      <w:pPr>
        <w:pStyle w:val="a6"/>
      </w:pPr>
      <w:bookmarkStart w:id="0" w:name="sub_1"/>
      <w:r>
        <w:t>Совокупный годовой объем закупок по Закону N 44-ФЗ</w:t>
      </w:r>
    </w:p>
    <w:bookmarkEnd w:id="0"/>
    <w:p w:rsidR="00F33BFF" w:rsidRDefault="00E65816">
      <w:r>
        <w:t>Совокупный годовой объем закупок, осуществляемых в соответствии с Законом N 44-ФЗ (далее - СГОЗ), рассчитывается согласно указаниям данного Закона при определении:</w:t>
      </w:r>
    </w:p>
    <w:p w:rsidR="00F33BFF" w:rsidRDefault="00E65816">
      <w:r>
        <w:t>- необходимости создания контрактной службы, которая должна быть создана, если СГОЗ превышает 100 млн руб. (</w:t>
      </w:r>
      <w:hyperlink r:id="rId8" w:history="1">
        <w:r>
          <w:rPr>
            <w:rStyle w:val="a4"/>
          </w:rPr>
          <w:t>ч. 1 ст. 38</w:t>
        </w:r>
      </w:hyperlink>
      <w:r>
        <w:t xml:space="preserve"> Закона N 44-ФЗ);</w:t>
      </w:r>
    </w:p>
    <w:p w:rsidR="00F33BFF" w:rsidRDefault="00E65816">
      <w:r>
        <w:t>- ограничений, установленных для осуществления закупок путем проведения запроса котировок, в том числе в электронной форме (годовой объем закупок, осуществляемых этим способом, не должен превышать 10% СГОЗ заказчика и не должен составлять более чем 100 млн руб. (</w:t>
      </w:r>
      <w:hyperlink r:id="rId9" w:history="1">
        <w:r>
          <w:rPr>
            <w:rStyle w:val="a4"/>
          </w:rPr>
          <w:t>ч. 2 ст. 72</w:t>
        </w:r>
      </w:hyperlink>
      <w:r>
        <w:t xml:space="preserve">, </w:t>
      </w:r>
      <w:hyperlink r:id="rId10" w:history="1">
        <w:r>
          <w:rPr>
            <w:rStyle w:val="a4"/>
          </w:rPr>
          <w:t>ч. 2 ст. 82.1</w:t>
        </w:r>
      </w:hyperlink>
      <w:r>
        <w:t xml:space="preserve"> Закона N 44-ФЗ));</w:t>
      </w:r>
    </w:p>
    <w:tbl>
      <w:tblPr>
        <w:tblW w:w="0" w:type="auto"/>
        <w:tblInd w:w="108" w:type="dxa"/>
        <w:tblLayout w:type="fixed"/>
        <w:tblLook w:val="0000"/>
      </w:tblPr>
      <w:tblGrid>
        <w:gridCol w:w="420"/>
        <w:gridCol w:w="9460"/>
        <w:gridCol w:w="420"/>
      </w:tblGrid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  <w:bookmarkStart w:id="1" w:name="sub_5"/>
            <w:bookmarkEnd w:id="1"/>
          </w:p>
        </w:tc>
      </w:tr>
      <w:tr w:rsidR="00F33BFF" w:rsidRPr="00E65816">
        <w:tc>
          <w:tcPr>
            <w:tcW w:w="10300" w:type="dxa"/>
            <w:gridSpan w:val="3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ind w:firstLine="0"/>
              <w:jc w:val="left"/>
              <w:rPr>
                <w:rFonts w:ascii="Arial" w:eastAsiaTheme="minorEastAsia" w:hAnsi="Arial" w:cs="Arial"/>
              </w:rPr>
            </w:pPr>
            <w:r w:rsidRPr="00F33BFF">
              <w:rPr>
                <w:rFonts w:ascii="Arial" w:eastAsiaTheme="minorEastAsia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9.3pt;height:17.85pt">
                  <v:imagedata r:id="rId11" o:title=""/>
                </v:shape>
              </w:pict>
            </w:r>
          </w:p>
        </w:tc>
      </w:tr>
      <w:tr w:rsidR="00F33BFF" w:rsidRPr="00E65816"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ind w:firstLine="0"/>
              <w:jc w:val="left"/>
              <w:rPr>
                <w:rFonts w:ascii="Arial" w:eastAsiaTheme="minorEastAsia" w:hAnsi="Arial" w:cs="Arial"/>
              </w:rPr>
            </w:pPr>
          </w:p>
        </w:tc>
        <w:tc>
          <w:tcPr>
            <w:tcW w:w="946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E65816">
            <w:pPr>
              <w:rPr>
                <w:rFonts w:eastAsiaTheme="minorEastAsia"/>
              </w:rPr>
            </w:pPr>
            <w:r w:rsidRPr="00E65816">
              <w:rPr>
                <w:rFonts w:eastAsiaTheme="minorEastAsia"/>
              </w:rPr>
              <w:t xml:space="preserve">В силу </w:t>
            </w:r>
            <w:hyperlink r:id="rId12" w:history="1">
              <w:r w:rsidRPr="00E65816">
                <w:rPr>
                  <w:rStyle w:val="a4"/>
                  <w:rFonts w:eastAsiaTheme="minorEastAsia"/>
                  <w:b w:val="0"/>
                  <w:bCs w:val="0"/>
                </w:rPr>
                <w:t>ч. 45 ст. 112</w:t>
              </w:r>
            </w:hyperlink>
            <w:r w:rsidRPr="00E65816">
              <w:rPr>
                <w:rFonts w:eastAsiaTheme="minorEastAsia"/>
              </w:rPr>
              <w:t xml:space="preserve"> Закона N 44-ФЗ указанные требования о пределе годового объема закупок, путем проведения запроса котировок, в том числе в электронной форме, должны выполняться начиная с 2018 года.</w:t>
            </w:r>
          </w:p>
          <w:p w:rsidR="00F33BFF" w:rsidRPr="00E65816" w:rsidRDefault="00F33BFF">
            <w:pPr>
              <w:rPr>
                <w:rFonts w:eastAsiaTheme="minorEastAsia"/>
              </w:rPr>
            </w:pPr>
          </w:p>
        </w:tc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rPr>
                <w:rFonts w:eastAsiaTheme="minorEastAsia"/>
              </w:rPr>
            </w:pPr>
          </w:p>
        </w:tc>
      </w:tr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</w:p>
        </w:tc>
      </w:tr>
    </w:tbl>
    <w:p w:rsidR="00F33BFF" w:rsidRDefault="00E65816">
      <w:r>
        <w:t xml:space="preserve">- ограничений, установленных для осуществления закупок у единственного контрагента на сумму, не превышающую 100 тыс. руб., на основании </w:t>
      </w:r>
      <w:hyperlink r:id="rId13" w:history="1">
        <w:r>
          <w:rPr>
            <w:rStyle w:val="a4"/>
          </w:rPr>
          <w:t>п. 4 ч. 1 ст. 93</w:t>
        </w:r>
      </w:hyperlink>
      <w:r>
        <w:t xml:space="preserve"> Закона N 44-ФЗ (годовой объем закупок, которые заказчик вправе осуществить по этому основанию, по общему правилу не должен превышать 2 млн руб. или не должен превышать 5% СГОЗ заказчика и не должен составлять более чем 50 млн руб. (</w:t>
      </w:r>
      <w:hyperlink r:id="rId14" w:history="1">
        <w:r>
          <w:rPr>
            <w:rStyle w:val="a4"/>
          </w:rPr>
          <w:t>п. 4 ч. 1 ст. 93</w:t>
        </w:r>
      </w:hyperlink>
      <w:r>
        <w:t xml:space="preserve"> Закона N 44-ФЗ));</w:t>
      </w:r>
    </w:p>
    <w:p w:rsidR="00F33BFF" w:rsidRDefault="00E65816">
      <w:r>
        <w:t xml:space="preserve">- ограничений, установленных для осуществления закупок у единственного контрагента на сумму, не превышающую 400 тыс. руб., на основании </w:t>
      </w:r>
      <w:hyperlink r:id="rId15" w:history="1">
        <w:r>
          <w:rPr>
            <w:rStyle w:val="a4"/>
          </w:rPr>
          <w:t>п. 5 ч. 1 ст. 93</w:t>
        </w:r>
      </w:hyperlink>
      <w:r>
        <w:t xml:space="preserve"> Закона N 44-ФЗ (годовой объем закупок, которые заказчик вправе осуществить на основании этого пункта, не должен превышать 50% СГОЗ заказчика и не должен составлять более чем 20 млн руб. (</w:t>
      </w:r>
      <w:hyperlink r:id="rId16" w:history="1">
        <w:r>
          <w:rPr>
            <w:rStyle w:val="a4"/>
          </w:rPr>
          <w:t>п. 5 ч. 1 ст. 93</w:t>
        </w:r>
      </w:hyperlink>
      <w:r>
        <w:t xml:space="preserve"> Закона N 44-ФЗ)).</w:t>
      </w:r>
    </w:p>
    <w:p w:rsidR="00F33BFF" w:rsidRDefault="00F33BFF"/>
    <w:p w:rsidR="00F33BFF" w:rsidRDefault="00E65816">
      <w:r>
        <w:t>Сведения о СГОЗ указываются заказчиком в плане-графике (справочно) (</w:t>
      </w:r>
      <w:hyperlink r:id="rId17" w:history="1">
        <w:r>
          <w:rPr>
            <w:rStyle w:val="a4"/>
          </w:rPr>
          <w:t>пп. "е" п. 1</w:t>
        </w:r>
      </w:hyperlink>
      <w:r>
        <w:t xml:space="preserve"> Требований к форме плана-графика закупок товаров, работ, услуг для обеспечения федеральных нужд, утвержденных </w:t>
      </w:r>
      <w:hyperlink r:id="rId18" w:history="1">
        <w:r>
          <w:rPr>
            <w:rStyle w:val="a4"/>
          </w:rPr>
          <w:t>постановлением</w:t>
        </w:r>
      </w:hyperlink>
      <w:r>
        <w:t xml:space="preserve"> Правительства РФ от 05.06.2015 N 553, </w:t>
      </w:r>
      <w:hyperlink r:id="rId19" w:history="1">
        <w:r>
          <w:rPr>
            <w:rStyle w:val="a4"/>
          </w:rPr>
          <w:t>пп. "з" п. 1</w:t>
        </w:r>
      </w:hyperlink>
      <w:r>
        <w:t xml:space="preserve"> Требований к форме плана-графика закупок товаров, работ, услуг, утвержденных </w:t>
      </w:r>
      <w:hyperlink r:id="rId20" w:history="1">
        <w:r>
          <w:rPr>
            <w:rStyle w:val="a4"/>
          </w:rPr>
          <w:t>постановлением</w:t>
        </w:r>
      </w:hyperlink>
      <w:r>
        <w:t xml:space="preserve"> Правительства РФ от 05.06.2015 N 554).</w:t>
      </w:r>
    </w:p>
    <w:p w:rsidR="00F33BFF" w:rsidRDefault="00F33BFF"/>
    <w:p w:rsidR="00F33BFF" w:rsidRDefault="00E65816">
      <w:r>
        <w:t xml:space="preserve">Согласно </w:t>
      </w:r>
      <w:hyperlink r:id="rId21" w:history="1">
        <w:r>
          <w:rPr>
            <w:rStyle w:val="a4"/>
          </w:rPr>
          <w:t>п. 16 ст. 3</w:t>
        </w:r>
      </w:hyperlink>
      <w:r>
        <w:t xml:space="preserve"> Закона N 44-ФЗ СГОЗ - это утвержденный на соответствующий финансовый год общий </w:t>
      </w:r>
      <w:r>
        <w:rPr>
          <w:rStyle w:val="a3"/>
        </w:rPr>
        <w:t>объем финансового обеспечения для осуществления заказчиком закупок в соответствии с Законом N 44-ФЗ</w:t>
      </w:r>
      <w:r>
        <w:t xml:space="preserve">, в том числе для оплаты контрактов, заключенных до начала указанного финансового года и подлежащих оплате в указанном финансовом году. Финансовый год согласно </w:t>
      </w:r>
      <w:hyperlink r:id="rId22" w:history="1">
        <w:r>
          <w:rPr>
            <w:rStyle w:val="a4"/>
          </w:rPr>
          <w:t>ст. 12</w:t>
        </w:r>
      </w:hyperlink>
      <w:r>
        <w:t xml:space="preserve"> Бюджетного кодекса РФ, на нормах которого, помимо прочего, основан Закон N 44-ФЗ (</w:t>
      </w:r>
      <w:hyperlink r:id="rId23" w:history="1">
        <w:r>
          <w:rPr>
            <w:rStyle w:val="a4"/>
          </w:rPr>
          <w:t>ч. 1 ст. 2</w:t>
        </w:r>
      </w:hyperlink>
      <w:r>
        <w:t xml:space="preserve"> этого Закона), соответствует календарному году и длится с 1 января по 31 декабря.</w:t>
      </w:r>
    </w:p>
    <w:p w:rsidR="00F33BFF" w:rsidRDefault="00F33BFF"/>
    <w:p w:rsidR="00F33BFF" w:rsidRDefault="00E65816">
      <w:r>
        <w:t>Таким образом, СГОЗ представляет собой сумму средств, которую предполагается израсходовать на оплату по:</w:t>
      </w:r>
    </w:p>
    <w:p w:rsidR="00F33BFF" w:rsidRDefault="00E65816">
      <w:r>
        <w:t>а) контрактам, заключенным в предыдущих финансовых годах, в части, подлежащей оплате в текущем финансовом году;</w:t>
      </w:r>
    </w:p>
    <w:p w:rsidR="00F33BFF" w:rsidRDefault="00E65816">
      <w:r>
        <w:t xml:space="preserve">б) контрактам, заключенным в текущем финансовом году и полностью исполняемым и </w:t>
      </w:r>
      <w:r>
        <w:lastRenderedPageBreak/>
        <w:t>подлежащим оплате в текущем финансовом году;</w:t>
      </w:r>
    </w:p>
    <w:p w:rsidR="00F33BFF" w:rsidRDefault="00E65816">
      <w:r>
        <w:t>в) контрактам, заключенным в текущем финансовом году и исполняемым в текущем и последующих годах, в части, подлежащей оплате в текущем финансовом году.</w:t>
      </w:r>
    </w:p>
    <w:tbl>
      <w:tblPr>
        <w:tblW w:w="0" w:type="auto"/>
        <w:tblInd w:w="108" w:type="dxa"/>
        <w:tblLayout w:type="fixed"/>
        <w:tblLook w:val="0000"/>
      </w:tblPr>
      <w:tblGrid>
        <w:gridCol w:w="420"/>
        <w:gridCol w:w="9460"/>
        <w:gridCol w:w="420"/>
      </w:tblGrid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  <w:bookmarkStart w:id="2" w:name="sub_4"/>
            <w:bookmarkEnd w:id="2"/>
          </w:p>
        </w:tc>
      </w:tr>
      <w:tr w:rsidR="00F33BFF" w:rsidRPr="00E65816"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</w:p>
        </w:tc>
        <w:tc>
          <w:tcPr>
            <w:tcW w:w="946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E65816">
            <w:pPr>
              <w:rPr>
                <w:rFonts w:eastAsiaTheme="minorEastAsia"/>
              </w:rPr>
            </w:pPr>
            <w:r w:rsidRPr="00E65816">
              <w:rPr>
                <w:rFonts w:eastAsiaTheme="minorEastAsia"/>
              </w:rPr>
              <w:t>Формула для расчета СГОЗ выглядит следующим образом:</w:t>
            </w:r>
          </w:p>
          <w:p w:rsidR="00F33BFF" w:rsidRPr="00E65816" w:rsidRDefault="00E65816">
            <w:pPr>
              <w:rPr>
                <w:rFonts w:eastAsiaTheme="minorEastAsia"/>
              </w:rPr>
            </w:pPr>
            <w:r w:rsidRPr="00E65816">
              <w:rPr>
                <w:rFonts w:eastAsiaTheme="minorEastAsia"/>
              </w:rPr>
              <w:t>СГОЗ = а + б + в</w:t>
            </w:r>
          </w:p>
          <w:p w:rsidR="00F33BFF" w:rsidRPr="00E65816" w:rsidRDefault="00F33BFF">
            <w:pPr>
              <w:rPr>
                <w:rFonts w:eastAsiaTheme="minorEastAsia"/>
              </w:rPr>
            </w:pPr>
          </w:p>
        </w:tc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rPr>
                <w:rFonts w:eastAsiaTheme="minorEastAsia"/>
              </w:rPr>
            </w:pPr>
          </w:p>
        </w:tc>
      </w:tr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</w:p>
        </w:tc>
      </w:tr>
    </w:tbl>
    <w:p w:rsidR="00F33BFF" w:rsidRDefault="00E65816">
      <w:r>
        <w:t xml:space="preserve">Аналогичный способ расчета СГОЗ приводится представителями Минэкономразвития России (в </w:t>
      </w:r>
      <w:hyperlink r:id="rId24" w:history="1">
        <w:r>
          <w:rPr>
            <w:rStyle w:val="a4"/>
          </w:rPr>
          <w:t>Информации</w:t>
        </w:r>
      </w:hyperlink>
      <w:r>
        <w:t xml:space="preserve"> от 04.06.2014, в ответе на </w:t>
      </w:r>
      <w:hyperlink r:id="rId25" w:history="1">
        <w:r>
          <w:rPr>
            <w:rStyle w:val="a4"/>
          </w:rPr>
          <w:t>вопрос 86</w:t>
        </w:r>
      </w:hyperlink>
      <w:r>
        <w:t xml:space="preserve"> в письме от 30.09.2014 N Д28И-1889, </w:t>
      </w:r>
      <w:hyperlink r:id="rId26" w:history="1">
        <w:r>
          <w:rPr>
            <w:rStyle w:val="a4"/>
          </w:rPr>
          <w:t>письме</w:t>
        </w:r>
      </w:hyperlink>
      <w:r>
        <w:t xml:space="preserve"> от 06.12.2016 N Д28и-3332 и др.) и Минфина России (в письмах </w:t>
      </w:r>
      <w:hyperlink r:id="rId27" w:history="1">
        <w:r>
          <w:rPr>
            <w:rStyle w:val="a4"/>
          </w:rPr>
          <w:t>от 16.06.2017 N 24-01-09/37707</w:t>
        </w:r>
      </w:hyperlink>
      <w:r>
        <w:t xml:space="preserve"> и </w:t>
      </w:r>
      <w:hyperlink r:id="rId28" w:history="1">
        <w:r>
          <w:rPr>
            <w:rStyle w:val="a4"/>
          </w:rPr>
          <w:t>от 24.08.2017 N 24-01-09/54336</w:t>
        </w:r>
      </w:hyperlink>
      <w:r>
        <w:t>).</w:t>
      </w:r>
    </w:p>
    <w:p w:rsidR="00F33BFF" w:rsidRDefault="00F33BFF"/>
    <w:p w:rsidR="00F33BFF" w:rsidRDefault="00E65816">
      <w:r>
        <w:t>При расчете СГОЗ необходимо учитывать следующее.</w:t>
      </w:r>
    </w:p>
    <w:p w:rsidR="00F33BFF" w:rsidRDefault="00F33BFF"/>
    <w:p w:rsidR="00F33BFF" w:rsidRDefault="00E65816">
      <w:r>
        <w:t xml:space="preserve">Во-первых, в расчет СГОЗ включаются исключительно суммы контрактов, то есть </w:t>
      </w:r>
      <w:r>
        <w:rPr>
          <w:rStyle w:val="a3"/>
        </w:rPr>
        <w:t>гражданско-правовых договоров, заключенных заказчиком в соответствии с нормами Закона N 44-ФЗ</w:t>
      </w:r>
      <w:r>
        <w:t>, предметом которых являются поставка товара, выполнение работы, оказание услуги (в том числе приобретение недвижимого имущества или аренда имущества) (</w:t>
      </w:r>
      <w:hyperlink r:id="rId29" w:history="1">
        <w:r>
          <w:rPr>
            <w:rStyle w:val="a4"/>
          </w:rPr>
          <w:t>п. 3 ч. 1 ст. 1</w:t>
        </w:r>
      </w:hyperlink>
      <w:r>
        <w:t xml:space="preserve"> Закона N 44-ФЗ). Любые другие денежные суммы (например, выплаты денежных средств работникам в соответствии с </w:t>
      </w:r>
      <w:hyperlink r:id="rId30" w:history="1">
        <w:r>
          <w:rPr>
            <w:rStyle w:val="a4"/>
          </w:rPr>
          <w:t>Трудовым кодексом</w:t>
        </w:r>
      </w:hyperlink>
      <w:r>
        <w:t xml:space="preserve"> РФ, выплаты по договорам, не подпадающим под действие Закона N 44-ФЗ (</w:t>
      </w:r>
      <w:hyperlink r:id="rId31" w:history="1">
        <w:r>
          <w:rPr>
            <w:rStyle w:val="a4"/>
          </w:rPr>
          <w:t>ч. 2 ст. 1</w:t>
        </w:r>
      </w:hyperlink>
      <w:r>
        <w:t xml:space="preserve"> Закона N 44-ФЗ) и т. д.) в расчет СГОЗ не включаются.</w:t>
      </w:r>
    </w:p>
    <w:p w:rsidR="00F33BFF" w:rsidRDefault="00E65816">
      <w:r>
        <w:t xml:space="preserve">В частности, по мнению Минфина России, договоры, заключенные унитарными предприятиями до 1 января 2017 года в соответствии с требованиями Закона N 223-ФЗ и подлежащие оплате после указанной даты, не подлежат включению в СГОЗ (см. письма </w:t>
      </w:r>
      <w:hyperlink r:id="rId32" w:history="1">
        <w:r>
          <w:rPr>
            <w:rStyle w:val="a4"/>
          </w:rPr>
          <w:t>от 11.09.2017 N 24-04-07/58546</w:t>
        </w:r>
      </w:hyperlink>
      <w:r>
        <w:t xml:space="preserve"> и </w:t>
      </w:r>
      <w:hyperlink r:id="rId33" w:history="1">
        <w:r>
          <w:rPr>
            <w:rStyle w:val="a4"/>
          </w:rPr>
          <w:t>от 29.09.2017 N 24-01-10/64059</w:t>
        </w:r>
      </w:hyperlink>
      <w:r>
        <w:t>).</w:t>
      </w:r>
    </w:p>
    <w:p w:rsidR="00F33BFF" w:rsidRDefault="00E65816">
      <w:r>
        <w:t xml:space="preserve">В </w:t>
      </w:r>
      <w:hyperlink r:id="rId34" w:history="1">
        <w:r>
          <w:rPr>
            <w:rStyle w:val="a4"/>
          </w:rPr>
          <w:t>письме</w:t>
        </w:r>
      </w:hyperlink>
      <w:r>
        <w:t xml:space="preserve"> от 29.12.2016 N Д28и-3495 аналогичный вывод сделан специалистами Минэкономразвития России в отношении включения в СГОЗ учреждения, сменившего тип с автономного на бюджетное, сумм на оплату договоров, заключенных этим учреждением в соответствии с положениями </w:t>
      </w:r>
      <w:hyperlink r:id="rId35" w:history="1">
        <w:r>
          <w:rPr>
            <w:rStyle w:val="a4"/>
          </w:rPr>
          <w:t>Закона</w:t>
        </w:r>
      </w:hyperlink>
      <w:r>
        <w:t xml:space="preserve"> N 223-ФЗ до изменения типа.</w:t>
      </w:r>
    </w:p>
    <w:p w:rsidR="00F33BFF" w:rsidRDefault="00F33BFF"/>
    <w:p w:rsidR="00F33BFF" w:rsidRDefault="00E65816">
      <w:r>
        <w:t xml:space="preserve">Во-вторых, в расчет СГОЗ включаются суммы всех контрактов, независимо от того, по итогам какого способа определения поставщика (исполнителя, подрядчика) они заключены, поскольку никаких оговорок по данному вопросу </w:t>
      </w:r>
      <w:hyperlink r:id="rId36" w:history="1">
        <w:r>
          <w:rPr>
            <w:rStyle w:val="a4"/>
          </w:rPr>
          <w:t>п. 16 ст. 3</w:t>
        </w:r>
      </w:hyperlink>
      <w:r>
        <w:t xml:space="preserve"> Закона N 44-ФЗ не содержит. В частности, в расчет СГОЗ включаются суммы контрактов, заключенных на основании </w:t>
      </w:r>
      <w:hyperlink r:id="rId37" w:history="1">
        <w:r>
          <w:rPr>
            <w:rStyle w:val="a4"/>
          </w:rPr>
          <w:t>п. 4 ч. 1 ст. 93</w:t>
        </w:r>
      </w:hyperlink>
      <w:r>
        <w:t xml:space="preserve"> Закона N 44-ФЗ (см. </w:t>
      </w:r>
      <w:hyperlink r:id="rId38" w:history="1">
        <w:r>
          <w:rPr>
            <w:rStyle w:val="a4"/>
          </w:rPr>
          <w:t>письмо</w:t>
        </w:r>
      </w:hyperlink>
      <w:r>
        <w:t xml:space="preserve"> Минфина России от 16.06.2017 N 24-01-09/37707).</w:t>
      </w:r>
    </w:p>
    <w:p w:rsidR="00F33BFF" w:rsidRDefault="00F33BFF"/>
    <w:p w:rsidR="00F33BFF" w:rsidRPr="00A87B8B" w:rsidRDefault="00E65816">
      <w:pPr>
        <w:rPr>
          <w:highlight w:val="yellow"/>
        </w:rPr>
      </w:pPr>
      <w:r w:rsidRPr="00A87B8B">
        <w:rPr>
          <w:highlight w:val="yellow"/>
        </w:rPr>
        <w:t xml:space="preserve">В-третьих, согласно </w:t>
      </w:r>
      <w:hyperlink r:id="rId39" w:history="1">
        <w:r w:rsidRPr="00A87B8B">
          <w:rPr>
            <w:rStyle w:val="a4"/>
            <w:highlight w:val="yellow"/>
          </w:rPr>
          <w:t>п. 3 ст. 3</w:t>
        </w:r>
      </w:hyperlink>
      <w:r w:rsidRPr="00A87B8B">
        <w:rPr>
          <w:highlight w:val="yellow"/>
        </w:rPr>
        <w:t xml:space="preserve"> Закона N 44-ФЗ закупка - совокупность действий, осуществляемых заказчиком и направленных на обеспечение государственных или муниципальных нужд, которая начинается с определения контрагента и </w:t>
      </w:r>
      <w:r w:rsidRPr="00A87B8B">
        <w:rPr>
          <w:rStyle w:val="a3"/>
          <w:highlight w:val="yellow"/>
        </w:rPr>
        <w:t>завершается исполнением обязательств сторонами контракта.</w:t>
      </w:r>
      <w:r w:rsidRPr="00A87B8B">
        <w:rPr>
          <w:highlight w:val="yellow"/>
        </w:rPr>
        <w:t xml:space="preserve"> Если в соответствии с Законом N 44-ФЗ не предусмотрено размещение извещения об осуществлении закупки или направление приглашения принять участие в определении контрагента, закупка </w:t>
      </w:r>
      <w:r w:rsidRPr="00A87B8B">
        <w:rPr>
          <w:rStyle w:val="a3"/>
          <w:highlight w:val="yellow"/>
        </w:rPr>
        <w:t>начинается с заключения контракта</w:t>
      </w:r>
      <w:r w:rsidRPr="00A87B8B">
        <w:rPr>
          <w:highlight w:val="yellow"/>
        </w:rPr>
        <w:t xml:space="preserve"> и завершается исполнением обязательств сторонами контракта. Отсюда видно, что закупка всегда подразумевает заключение контракта, а под "суммой закупки" имеется в виду </w:t>
      </w:r>
      <w:r w:rsidRPr="00A87B8B">
        <w:rPr>
          <w:rStyle w:val="a3"/>
          <w:highlight w:val="yellow"/>
        </w:rPr>
        <w:t>цена контракта</w:t>
      </w:r>
      <w:r w:rsidRPr="00A87B8B">
        <w:rPr>
          <w:highlight w:val="yellow"/>
        </w:rPr>
        <w:t xml:space="preserve">. При этом ценой контракта с точки зрения </w:t>
      </w:r>
      <w:hyperlink r:id="rId40" w:history="1">
        <w:r w:rsidRPr="00A87B8B">
          <w:rPr>
            <w:rStyle w:val="a4"/>
            <w:highlight w:val="yellow"/>
          </w:rPr>
          <w:t>Гражданского кодекса</w:t>
        </w:r>
      </w:hyperlink>
      <w:r w:rsidRPr="00A87B8B">
        <w:rPr>
          <w:highlight w:val="yellow"/>
        </w:rPr>
        <w:t xml:space="preserve"> РФ, на котором основан Закон N 44-ФЗ (</w:t>
      </w:r>
      <w:hyperlink r:id="rId41" w:history="1">
        <w:r w:rsidRPr="00A87B8B">
          <w:rPr>
            <w:rStyle w:val="a4"/>
            <w:highlight w:val="yellow"/>
          </w:rPr>
          <w:t>ч. 1 ст. 2</w:t>
        </w:r>
      </w:hyperlink>
      <w:r w:rsidRPr="00A87B8B">
        <w:rPr>
          <w:highlight w:val="yellow"/>
        </w:rPr>
        <w:t xml:space="preserve"> этого Закона), является вся сумма, уплачиваемая по контракту, независимо от того, включает ли она НДС или нет (тем более, что это зависит от системы налогообложения контрагента, которая может и измениться).</w:t>
      </w:r>
    </w:p>
    <w:p w:rsidR="00F33BFF" w:rsidRPr="00A87B8B" w:rsidRDefault="00F33BFF">
      <w:pPr>
        <w:rPr>
          <w:highlight w:val="yellow"/>
        </w:rPr>
      </w:pPr>
    </w:p>
    <w:p w:rsidR="00F33BFF" w:rsidRDefault="00E65816">
      <w:r w:rsidRPr="00A87B8B">
        <w:rPr>
          <w:highlight w:val="yellow"/>
        </w:rPr>
        <w:lastRenderedPageBreak/>
        <w:t xml:space="preserve">В-четвертых, если по результатам определения контрагентов в течение года образовалась экономия денежных средств, то рассчитывать СГОЗ с учетом фактически затраченных на оплату контрактов денежных средств в текущем финансовом году неправомерно (см. разъяснения по </w:t>
      </w:r>
      <w:hyperlink r:id="rId42" w:history="1">
        <w:r w:rsidRPr="00A87B8B">
          <w:rPr>
            <w:rStyle w:val="a4"/>
            <w:highlight w:val="yellow"/>
          </w:rPr>
          <w:t>вопросу 1.6</w:t>
        </w:r>
      </w:hyperlink>
      <w:r w:rsidRPr="00A87B8B">
        <w:rPr>
          <w:highlight w:val="yellow"/>
        </w:rPr>
        <w:t xml:space="preserve"> письма Минэкономразвития России от 11.06.2015 N Д28и-1757, </w:t>
      </w:r>
      <w:hyperlink r:id="rId43" w:history="1">
        <w:r w:rsidRPr="00A87B8B">
          <w:rPr>
            <w:rStyle w:val="a4"/>
            <w:highlight w:val="yellow"/>
          </w:rPr>
          <w:t>п. 1</w:t>
        </w:r>
      </w:hyperlink>
      <w:r w:rsidRPr="00A87B8B">
        <w:rPr>
          <w:highlight w:val="yellow"/>
        </w:rPr>
        <w:t xml:space="preserve"> письма Минэкономразвития России от 31.12.2014 N Д28и-2898, </w:t>
      </w:r>
      <w:hyperlink r:id="rId44" w:history="1">
        <w:r w:rsidRPr="00A87B8B">
          <w:rPr>
            <w:rStyle w:val="a4"/>
            <w:highlight w:val="yellow"/>
          </w:rPr>
          <w:t>письмо</w:t>
        </w:r>
      </w:hyperlink>
      <w:r w:rsidRPr="00A87B8B">
        <w:rPr>
          <w:highlight w:val="yellow"/>
        </w:rPr>
        <w:t xml:space="preserve"> Минэкономразвития России от 09.12.2014 N Д28и-2708). В связи с изменением цены конкретного контракта или его расторжением СГОЗ также не пересчитывается (см. </w:t>
      </w:r>
      <w:hyperlink r:id="rId45" w:history="1">
        <w:r w:rsidRPr="00A87B8B">
          <w:rPr>
            <w:rStyle w:val="a4"/>
            <w:highlight w:val="yellow"/>
          </w:rPr>
          <w:t>пись</w:t>
        </w:r>
        <w:r w:rsidRPr="00A87B8B">
          <w:rPr>
            <w:rStyle w:val="a4"/>
            <w:highlight w:val="yellow"/>
          </w:rPr>
          <w:t>м</w:t>
        </w:r>
        <w:r w:rsidRPr="00A87B8B">
          <w:rPr>
            <w:rStyle w:val="a4"/>
            <w:highlight w:val="yellow"/>
          </w:rPr>
          <w:t>о</w:t>
        </w:r>
      </w:hyperlink>
      <w:r w:rsidRPr="00A87B8B">
        <w:rPr>
          <w:highlight w:val="yellow"/>
        </w:rPr>
        <w:t xml:space="preserve"> Минэкономразвития России от 21.04.2017 N Д28и-1632).</w:t>
      </w:r>
    </w:p>
    <w:p w:rsidR="00F33BFF" w:rsidRDefault="00F33BFF"/>
    <w:p w:rsidR="00F33BFF" w:rsidRDefault="00E65816">
      <w:r>
        <w:t>Таким образом, СГОЗ в любом отдельно взятом календарном году по общему правилу следует определять как утвержденный общий объем финансового обеспечения согласно лимитам бюджетных обязательств или плану финансово-хозяйственной деятельности для оплаты гражданско-правовых договоров (контрактов) в этом году, независимо от того, в каком году и каким способом были заключены такие контракты. Доли закупки путем запроса котировок и у единственного контрагента определяются в процентах от суммы СГОЗ.</w:t>
      </w:r>
    </w:p>
    <w:tbl>
      <w:tblPr>
        <w:tblW w:w="0" w:type="auto"/>
        <w:tblInd w:w="108" w:type="dxa"/>
        <w:tblLayout w:type="fixed"/>
        <w:tblLook w:val="0000"/>
      </w:tblPr>
      <w:tblGrid>
        <w:gridCol w:w="420"/>
        <w:gridCol w:w="9460"/>
        <w:gridCol w:w="420"/>
      </w:tblGrid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  <w:bookmarkStart w:id="3" w:name="sub_3"/>
            <w:bookmarkEnd w:id="3"/>
          </w:p>
        </w:tc>
      </w:tr>
      <w:tr w:rsidR="00F33BFF" w:rsidRPr="00E65816">
        <w:tc>
          <w:tcPr>
            <w:tcW w:w="10300" w:type="dxa"/>
            <w:gridSpan w:val="3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A87B8B">
            <w:pPr>
              <w:ind w:firstLine="0"/>
              <w:jc w:val="left"/>
              <w:rPr>
                <w:rFonts w:ascii="Arial" w:eastAsiaTheme="minorEastAsia" w:hAnsi="Arial" w:cs="Arial"/>
              </w:rPr>
            </w:pPr>
            <w:r w:rsidRPr="00F33BFF">
              <w:rPr>
                <w:rFonts w:ascii="Arial" w:eastAsiaTheme="minorEastAsia" w:hAnsi="Arial" w:cs="Arial"/>
              </w:rPr>
              <w:pict>
                <v:shape id="_x0000_i1026" type="#_x0000_t75" style="width:199.3pt;height:17.85pt">
                  <v:imagedata r:id="rId46" o:title=""/>
                </v:shape>
              </w:pict>
            </w:r>
          </w:p>
        </w:tc>
      </w:tr>
      <w:tr w:rsidR="00F33BFF" w:rsidRPr="00E65816"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ind w:firstLine="0"/>
              <w:jc w:val="left"/>
              <w:rPr>
                <w:rFonts w:ascii="Arial" w:eastAsiaTheme="minorEastAsia" w:hAnsi="Arial" w:cs="Arial"/>
              </w:rPr>
            </w:pPr>
          </w:p>
        </w:tc>
        <w:tc>
          <w:tcPr>
            <w:tcW w:w="946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E65816">
            <w:pPr>
              <w:rPr>
                <w:rFonts w:eastAsiaTheme="minorEastAsia"/>
              </w:rPr>
            </w:pPr>
            <w:r w:rsidRPr="00E65816">
              <w:rPr>
                <w:rFonts w:eastAsiaTheme="minorEastAsia"/>
              </w:rPr>
              <w:t>В 2018 году заказчиком были заключены контракты на сумму 3 млн руб., из которых в 2018 году заказчик выплатил контрагентам 2,5 млн руб., 500 тыс. руб. выплачиваются в январе 2019 года. В 2019 году заказчик заключает контракты на сумму 5 млн руб., из которых согласно условиям контрактов заказчик обязан выплатить контрагентам в 2019 году 3 млн руб., а оставшиеся 2 млн руб. - в 2020 году. Заключать другие контракты в 2019 году заказчик не планирует.</w:t>
            </w:r>
          </w:p>
          <w:p w:rsidR="00F33BFF" w:rsidRPr="00E65816" w:rsidRDefault="00E65816">
            <w:pPr>
              <w:rPr>
                <w:rFonts w:eastAsiaTheme="minorEastAsia"/>
              </w:rPr>
            </w:pPr>
            <w:r w:rsidRPr="00E65816">
              <w:rPr>
                <w:rFonts w:eastAsiaTheme="minorEastAsia"/>
              </w:rPr>
              <w:t>СГОЗ на 2019 год = 500 тыс. руб. + 3 млн руб. = 3,5 млн руб.</w:t>
            </w:r>
          </w:p>
          <w:p w:rsidR="00F33BFF" w:rsidRPr="00E65816" w:rsidRDefault="00F33BFF">
            <w:pPr>
              <w:rPr>
                <w:rFonts w:eastAsiaTheme="minorEastAsia"/>
              </w:rPr>
            </w:pPr>
          </w:p>
        </w:tc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F33BFF" w:rsidRPr="00E65816" w:rsidRDefault="00F33BFF">
            <w:pPr>
              <w:rPr>
                <w:rFonts w:eastAsiaTheme="minorEastAsia"/>
              </w:rPr>
            </w:pPr>
          </w:p>
        </w:tc>
      </w:tr>
      <w:tr w:rsidR="00F33BFF" w:rsidRPr="00E65816"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33BFF" w:rsidRPr="00E65816" w:rsidRDefault="00F33BFF">
            <w:pPr>
              <w:pStyle w:val="a7"/>
              <w:rPr>
                <w:rFonts w:eastAsiaTheme="minorEastAsia"/>
              </w:rPr>
            </w:pPr>
          </w:p>
        </w:tc>
      </w:tr>
    </w:tbl>
    <w:p w:rsidR="00F33BFF" w:rsidRDefault="00E65816">
      <w:r>
        <w:t>Исходя из вышесказанного, при определении остатка доли закупок (лимита) путем проведения запроса котировок и у единственного контрагента без дополнительных к тому оснований по мере осуществления конкретных закупок из лимита, рассчитанного исходя из СГОЗ этого года, вычитаются суммы, подлежащие уплате по каждому конкретному контракту в этом году.</w:t>
      </w:r>
    </w:p>
    <w:p w:rsidR="00F33BFF" w:rsidRDefault="00E65816">
      <w:r>
        <w:t xml:space="preserve">То есть если, например, контракт по </w:t>
      </w:r>
      <w:hyperlink r:id="rId47" w:history="1">
        <w:r>
          <w:rPr>
            <w:rStyle w:val="a4"/>
          </w:rPr>
          <w:t>п. 4 ч. 1 ст. 93</w:t>
        </w:r>
      </w:hyperlink>
      <w:r>
        <w:t xml:space="preserve"> Закона N 44-ФЗ заключен в 2018 году, но часть выплат по нему осуществляется в 2019 году, то из лимита на 2018 год, определенного исходя из СГОЗ 2018 года, вычитается только сумма, подлежащая уплате в 2018 году, а сумма, подлежащая уплате в 2019 году, вычитается из лимита, определенного исходя из СГОЗ 2019 года. Именно такой подход применяется при определении объема закупок у субъектов малого предпринимательства и социально ориентированных некоммерческих организаций (см. </w:t>
      </w:r>
      <w:hyperlink r:id="rId48" w:history="1">
        <w:r>
          <w:rPr>
            <w:rStyle w:val="a4"/>
          </w:rPr>
          <w:t>пп.пп. "д"</w:t>
        </w:r>
      </w:hyperlink>
      <w:r>
        <w:t xml:space="preserve"> и </w:t>
      </w:r>
      <w:hyperlink r:id="rId49" w:history="1">
        <w:r>
          <w:rPr>
            <w:rStyle w:val="a4"/>
          </w:rPr>
          <w:t>"е" п. 2</w:t>
        </w:r>
      </w:hyperlink>
      <w:r>
        <w:t xml:space="preserve"> Требований к заполнению формы отчета об объеме закупок у субъектов малого предпринимательства и социально ориентированных некоммерческих организаций, утвержденных </w:t>
      </w:r>
      <w:hyperlink r:id="rId50" w:history="1">
        <w:r>
          <w:rPr>
            <w:rStyle w:val="a4"/>
          </w:rPr>
          <w:t>постановлением</w:t>
        </w:r>
      </w:hyperlink>
      <w:r>
        <w:t xml:space="preserve"> Правительства РФ от 17.03.2015 N 238).</w:t>
      </w:r>
    </w:p>
    <w:p w:rsidR="00E65816" w:rsidRDefault="00E65816"/>
    <w:sectPr w:rsidR="00E65816" w:rsidSect="00F33BFF">
      <w:headerReference w:type="default" r:id="rId51"/>
      <w:footerReference w:type="default" r:id="rId52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157" w:rsidRDefault="00BD5157">
      <w:r>
        <w:separator/>
      </w:r>
    </w:p>
  </w:endnote>
  <w:endnote w:type="continuationSeparator" w:id="1">
    <w:p w:rsidR="00BD5157" w:rsidRDefault="00BD5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F33BFF" w:rsidRPr="00E6581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33BFF" w:rsidRPr="00E65816" w:rsidRDefault="00F33BFF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="00E65816"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DATE  \@ "dd.MM.yyyy"  \* MERGEFORMAT </w:instrText>
          </w: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A87B8B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15.03.2019</w:t>
          </w: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="00E65816"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33BFF" w:rsidRPr="00E65816" w:rsidRDefault="00E65816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33BFF" w:rsidRPr="00E65816" w:rsidRDefault="00F33BFF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="00E65816"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PAGE  \* MERGEFORMAT </w:instrText>
          </w: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A87B8B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1</w:t>
          </w:r>
          <w:r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="00E65816" w:rsidRPr="00E65816">
            <w:rPr>
              <w:rFonts w:ascii="Times New Roman" w:eastAsiaTheme="minorEastAsia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A87B8B" w:rsidRPr="00A87B8B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3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157" w:rsidRDefault="00BD5157">
      <w:r>
        <w:separator/>
      </w:r>
    </w:p>
  </w:footnote>
  <w:footnote w:type="continuationSeparator" w:id="1">
    <w:p w:rsidR="00BD5157" w:rsidRDefault="00BD5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BFF" w:rsidRDefault="00E65816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Энциклопедия решений. Совокупный годовой объем закупок по Закону N 44-ФЗ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3FF"/>
    <w:rsid w:val="00180536"/>
    <w:rsid w:val="00A87B8B"/>
    <w:rsid w:val="00BD5157"/>
    <w:rsid w:val="00E65816"/>
    <w:rsid w:val="00F33BFF"/>
    <w:rsid w:val="00F94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F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33BF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33BF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33BFF"/>
    <w:rPr>
      <w:color w:val="106BBE"/>
    </w:rPr>
  </w:style>
  <w:style w:type="paragraph" w:customStyle="1" w:styleId="a5">
    <w:name w:val="Внимание"/>
    <w:basedOn w:val="a"/>
    <w:next w:val="a"/>
    <w:uiPriority w:val="99"/>
    <w:rsid w:val="00F33BFF"/>
    <w:pPr>
      <w:spacing w:before="240" w:after="240"/>
      <w:ind w:left="420" w:right="420" w:firstLine="300"/>
    </w:pPr>
    <w:rPr>
      <w:shd w:val="clear" w:color="auto" w:fill="FAF3E9"/>
    </w:rPr>
  </w:style>
  <w:style w:type="character" w:customStyle="1" w:styleId="10">
    <w:name w:val="Заголовок 1 Знак"/>
    <w:basedOn w:val="a0"/>
    <w:link w:val="1"/>
    <w:uiPriority w:val="9"/>
    <w:rsid w:val="00F33BF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6">
    <w:name w:val="Заголовок ЭР (левое окно)"/>
    <w:basedOn w:val="a"/>
    <w:next w:val="a"/>
    <w:uiPriority w:val="99"/>
    <w:rsid w:val="00F33BFF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7">
    <w:name w:val="Нормальный (таблица)"/>
    <w:basedOn w:val="a"/>
    <w:next w:val="a"/>
    <w:uiPriority w:val="99"/>
    <w:rsid w:val="00F33BFF"/>
    <w:pPr>
      <w:ind w:firstLine="0"/>
    </w:pPr>
  </w:style>
  <w:style w:type="paragraph" w:customStyle="1" w:styleId="a8">
    <w:name w:val="Пример"/>
    <w:basedOn w:val="a5"/>
    <w:next w:val="a"/>
    <w:uiPriority w:val="99"/>
    <w:rsid w:val="00F33BFF"/>
  </w:style>
  <w:style w:type="paragraph" w:customStyle="1" w:styleId="a9">
    <w:name w:val="Формула"/>
    <w:basedOn w:val="a"/>
    <w:next w:val="a"/>
    <w:uiPriority w:val="99"/>
    <w:rsid w:val="00F33BFF"/>
    <w:pPr>
      <w:spacing w:before="240" w:after="240"/>
      <w:ind w:left="420" w:right="420" w:firstLine="300"/>
    </w:pPr>
    <w:rPr>
      <w:shd w:val="clear" w:color="auto" w:fill="FAF3E9"/>
    </w:rPr>
  </w:style>
  <w:style w:type="character" w:customStyle="1" w:styleId="aa">
    <w:name w:val="Цветовое выделение для Текст"/>
    <w:uiPriority w:val="99"/>
    <w:rsid w:val="00F33BFF"/>
    <w:rPr>
      <w:rFonts w:ascii="Times New Roman CYR" w:hAnsi="Times New Roman CYR" w:cs="Times New Roman CYR"/>
    </w:rPr>
  </w:style>
  <w:style w:type="paragraph" w:styleId="ab">
    <w:name w:val="header"/>
    <w:basedOn w:val="a"/>
    <w:link w:val="ac"/>
    <w:uiPriority w:val="99"/>
    <w:semiHidden/>
    <w:unhideWhenUsed/>
    <w:rsid w:val="00F33BF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33BFF"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F33BF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33BFF"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18053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805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70253464&amp;sub=9314" TargetMode="External"/><Relationship Id="rId18" Type="http://schemas.openxmlformats.org/officeDocument/2006/relationships/hyperlink" Target="http://internet.garant.ru/document?id=70967264&amp;sub=0" TargetMode="External"/><Relationship Id="rId26" Type="http://schemas.openxmlformats.org/officeDocument/2006/relationships/hyperlink" Target="http://internet.garant.ru/document?id=71494430&amp;sub=0" TargetMode="External"/><Relationship Id="rId39" Type="http://schemas.openxmlformats.org/officeDocument/2006/relationships/hyperlink" Target="http://internet.garant.ru/document?id=70253464&amp;sub=3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70253464&amp;sub=3166" TargetMode="External"/><Relationship Id="rId34" Type="http://schemas.openxmlformats.org/officeDocument/2006/relationships/hyperlink" Target="http://internet.garant.ru/document?id=71491448&amp;sub=0" TargetMode="External"/><Relationship Id="rId42" Type="http://schemas.openxmlformats.org/officeDocument/2006/relationships/hyperlink" Target="http://internet.garant.ru/document?id=71075042&amp;sub=3" TargetMode="External"/><Relationship Id="rId47" Type="http://schemas.openxmlformats.org/officeDocument/2006/relationships/hyperlink" Target="http://internet.garant.ru/document?id=70253464&amp;sub=9314" TargetMode="External"/><Relationship Id="rId50" Type="http://schemas.openxmlformats.org/officeDocument/2006/relationships/hyperlink" Target="http://internet.garant.ru/document?id=70798286&amp;sub=0" TargetMode="External"/><Relationship Id="rId7" Type="http://schemas.openxmlformats.org/officeDocument/2006/relationships/hyperlink" Target="http://internet.garant.ru/document?id=57979527&amp;sub=0" TargetMode="External"/><Relationship Id="rId12" Type="http://schemas.openxmlformats.org/officeDocument/2006/relationships/hyperlink" Target="http://internet.garant.ru/document?id=70253464&amp;sub=11245" TargetMode="External"/><Relationship Id="rId17" Type="http://schemas.openxmlformats.org/officeDocument/2006/relationships/hyperlink" Target="http://internet.garant.ru/document?id=70967264&amp;sub=2016" TargetMode="External"/><Relationship Id="rId25" Type="http://schemas.openxmlformats.org/officeDocument/2006/relationships/hyperlink" Target="http://internet.garant.ru/document?id=70684728&amp;sub=87" TargetMode="External"/><Relationship Id="rId33" Type="http://schemas.openxmlformats.org/officeDocument/2006/relationships/hyperlink" Target="http://internet.garant.ru/document?id=71700574&amp;sub=0" TargetMode="External"/><Relationship Id="rId38" Type="http://schemas.openxmlformats.org/officeDocument/2006/relationships/hyperlink" Target="http://internet.garant.ru/document?id=71618154&amp;sub=0" TargetMode="External"/><Relationship Id="rId46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253464&amp;sub=9315" TargetMode="External"/><Relationship Id="rId20" Type="http://schemas.openxmlformats.org/officeDocument/2006/relationships/hyperlink" Target="http://internet.garant.ru/document?id=70967350&amp;sub=0" TargetMode="External"/><Relationship Id="rId29" Type="http://schemas.openxmlformats.org/officeDocument/2006/relationships/hyperlink" Target="http://internet.garant.ru/document?id=70253464&amp;sub=1103" TargetMode="External"/><Relationship Id="rId41" Type="http://schemas.openxmlformats.org/officeDocument/2006/relationships/hyperlink" Target="http://internet.garant.ru/document?id=70253464&amp;sub=201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hyperlink" Target="http://internet.garant.ru/document?id=70573386&amp;sub=230" TargetMode="External"/><Relationship Id="rId32" Type="http://schemas.openxmlformats.org/officeDocument/2006/relationships/hyperlink" Target="http://internet.garant.ru/document?id=71700606&amp;sub=0" TargetMode="External"/><Relationship Id="rId37" Type="http://schemas.openxmlformats.org/officeDocument/2006/relationships/hyperlink" Target="http://internet.garant.ru/document?id=70253464&amp;sub=9314" TargetMode="External"/><Relationship Id="rId40" Type="http://schemas.openxmlformats.org/officeDocument/2006/relationships/hyperlink" Target="http://internet.garant.ru/document?id=10064072&amp;sub=525" TargetMode="External"/><Relationship Id="rId45" Type="http://schemas.openxmlformats.org/officeDocument/2006/relationships/hyperlink" Target="http://internet.garant.ru/document?id=71581132&amp;sub=0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70253464&amp;sub=9315" TargetMode="External"/><Relationship Id="rId23" Type="http://schemas.openxmlformats.org/officeDocument/2006/relationships/hyperlink" Target="http://internet.garant.ru/document?id=70253464&amp;sub=201" TargetMode="External"/><Relationship Id="rId28" Type="http://schemas.openxmlformats.org/officeDocument/2006/relationships/hyperlink" Target="http://internet.garant.ru/document?id=71677640&amp;sub=0" TargetMode="External"/><Relationship Id="rId36" Type="http://schemas.openxmlformats.org/officeDocument/2006/relationships/hyperlink" Target="http://internet.garant.ru/document?id=70253464&amp;sub=3166" TargetMode="External"/><Relationship Id="rId49" Type="http://schemas.openxmlformats.org/officeDocument/2006/relationships/hyperlink" Target="http://internet.garant.ru/document?id=70798286&amp;sub=11026" TargetMode="External"/><Relationship Id="rId10" Type="http://schemas.openxmlformats.org/officeDocument/2006/relationships/hyperlink" Target="http://internet.garant.ru/document?id=70253464&amp;sub=82012" TargetMode="External"/><Relationship Id="rId19" Type="http://schemas.openxmlformats.org/officeDocument/2006/relationships/hyperlink" Target="http://internet.garant.ru/document?id=70967350&amp;sub=2018" TargetMode="External"/><Relationship Id="rId31" Type="http://schemas.openxmlformats.org/officeDocument/2006/relationships/hyperlink" Target="http://internet.garant.ru/document?id=70253464&amp;sub=120" TargetMode="External"/><Relationship Id="rId44" Type="http://schemas.openxmlformats.org/officeDocument/2006/relationships/hyperlink" Target="http://internet.garant.ru/document?id=70838070&amp;sub=0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0253464&amp;sub=722" TargetMode="External"/><Relationship Id="rId14" Type="http://schemas.openxmlformats.org/officeDocument/2006/relationships/hyperlink" Target="http://internet.garant.ru/document?id=70253464&amp;sub=9314" TargetMode="External"/><Relationship Id="rId22" Type="http://schemas.openxmlformats.org/officeDocument/2006/relationships/hyperlink" Target="http://internet.garant.ru/document?id=12012604&amp;sub=12" TargetMode="External"/><Relationship Id="rId27" Type="http://schemas.openxmlformats.org/officeDocument/2006/relationships/hyperlink" Target="http://internet.garant.ru/document?id=71618154&amp;sub=0" TargetMode="External"/><Relationship Id="rId30" Type="http://schemas.openxmlformats.org/officeDocument/2006/relationships/hyperlink" Target="http://internet.garant.ru/document?id=12025268&amp;sub=0" TargetMode="External"/><Relationship Id="rId35" Type="http://schemas.openxmlformats.org/officeDocument/2006/relationships/hyperlink" Target="http://internet.garant.ru/document?id=12088083&amp;sub=0" TargetMode="External"/><Relationship Id="rId43" Type="http://schemas.openxmlformats.org/officeDocument/2006/relationships/hyperlink" Target="http://internet.garant.ru/document?id=70790460&amp;sub=1" TargetMode="External"/><Relationship Id="rId48" Type="http://schemas.openxmlformats.org/officeDocument/2006/relationships/hyperlink" Target="http://internet.garant.ru/document?id=70798286&amp;sub=11025" TargetMode="External"/><Relationship Id="rId8" Type="http://schemas.openxmlformats.org/officeDocument/2006/relationships/hyperlink" Target="http://internet.garant.ru/document?id=70253464&amp;sub=381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1770</Words>
  <Characters>10094</Characters>
  <Application>Microsoft Office Word</Application>
  <DocSecurity>0</DocSecurity>
  <Lines>84</Lines>
  <Paragraphs>23</Paragraphs>
  <ScaleCrop>false</ScaleCrop>
  <Company>НПП "Гарант-Сервис"</Company>
  <LinksUpToDate>false</LinksUpToDate>
  <CharactersWithSpaces>11841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Светлана</cp:lastModifiedBy>
  <cp:revision>3</cp:revision>
  <dcterms:created xsi:type="dcterms:W3CDTF">2019-03-15T17:15:00Z</dcterms:created>
  <dcterms:modified xsi:type="dcterms:W3CDTF">2019-03-15T17:29:00Z</dcterms:modified>
</cp:coreProperties>
</file>