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C2EBA">
      <w:pPr>
        <w:pStyle w:val="1"/>
      </w:pPr>
      <w:hyperlink r:id="rId7" w:history="1">
        <w:r>
          <w:rPr>
            <w:rStyle w:val="a4"/>
            <w:b/>
            <w:bCs/>
          </w:rPr>
          <w:t>Энциклопедия решений. Годовой отчет заказчика по Закону N 44-ФЗ об объеме заку</w:t>
        </w:r>
        <w:r>
          <w:rPr>
            <w:rStyle w:val="a4"/>
            <w:b/>
            <w:bCs/>
          </w:rPr>
          <w:t>пок у субъектов малого предпринимательства, социально ориентированных некоммерческих организаций</w:t>
        </w:r>
      </w:hyperlink>
    </w:p>
    <w:p w:rsidR="00000000" w:rsidRDefault="00CC2EBA">
      <w:pPr>
        <w:pStyle w:val="a6"/>
      </w:pPr>
      <w:bookmarkStart w:id="0" w:name="sub_2"/>
      <w:r>
        <w:t>Годовой отчет заказчика по Закону N 44-ФЗ об объеме закупок у субъектов малого предпринимательства, социально ориентированных некоммерческих организаци</w:t>
      </w:r>
      <w:r>
        <w:t>й</w:t>
      </w:r>
    </w:p>
    <w:bookmarkEnd w:id="0"/>
    <w:p w:rsidR="00000000" w:rsidRDefault="00CC2EBA">
      <w:r>
        <w:t xml:space="preserve">Согласно </w:t>
      </w:r>
      <w:hyperlink r:id="rId8" w:history="1">
        <w:r>
          <w:rPr>
            <w:rStyle w:val="a4"/>
          </w:rPr>
          <w:t>ч. 4 ст. 30</w:t>
        </w:r>
      </w:hyperlink>
      <w:r>
        <w:t xml:space="preserve"> Закона N 44-ФЗ по итогам года заказчик обязан составить отчет об объеме закупок у субъектов малого предпринимательства (далее - СМП), социально ориентированны</w:t>
      </w:r>
      <w:r>
        <w:t>х некоммерческих организаций (далее - СОНО) и до 1 апреля года, следующего за отчетным годом, разместить вышеуказанный отчет (далее - отчет) в единой информационной системе (далее - ЕИС).</w:t>
      </w:r>
    </w:p>
    <w:p w:rsidR="00000000" w:rsidRDefault="00CC2EBA"/>
    <w:p w:rsidR="00000000" w:rsidRDefault="00CC2EBA">
      <w:hyperlink r:id="rId9" w:history="1">
        <w:r>
          <w:rPr>
            <w:rStyle w:val="a4"/>
          </w:rPr>
          <w:t>Порядок</w:t>
        </w:r>
      </w:hyperlink>
      <w:r>
        <w:t xml:space="preserve"> подготовки отчета, его размещения в ЕИС, </w:t>
      </w:r>
      <w:hyperlink r:id="rId10" w:history="1">
        <w:r>
          <w:rPr>
            <w:rStyle w:val="a4"/>
          </w:rPr>
          <w:t>форма</w:t>
        </w:r>
      </w:hyperlink>
      <w:r>
        <w:t xml:space="preserve"> указанного отчета определяются Правительством РФ (</w:t>
      </w:r>
      <w:hyperlink r:id="rId11" w:history="1">
        <w:r>
          <w:rPr>
            <w:rStyle w:val="a4"/>
          </w:rPr>
          <w:t>ч. 4.1 ст.</w:t>
        </w:r>
        <w:r>
          <w:rPr>
            <w:rStyle w:val="a4"/>
          </w:rPr>
          <w:t> 30</w:t>
        </w:r>
      </w:hyperlink>
      <w:r>
        <w:t xml:space="preserve"> Закона N 44-ФЗ). На основании этой нормы </w:t>
      </w:r>
      <w:hyperlink r:id="rId12" w:history="1">
        <w:r>
          <w:rPr>
            <w:rStyle w:val="a4"/>
          </w:rPr>
          <w:t>постановлением</w:t>
        </w:r>
      </w:hyperlink>
      <w:r>
        <w:t xml:space="preserve"> Правительства РФ от 17.03.2015 N 238 утверждены:</w:t>
      </w:r>
    </w:p>
    <w:p w:rsidR="00000000" w:rsidRDefault="00CC2EBA">
      <w:r>
        <w:t>- </w:t>
      </w:r>
      <w:hyperlink r:id="rId13" w:history="1">
        <w:r>
          <w:rPr>
            <w:rStyle w:val="a4"/>
          </w:rPr>
          <w:t>Правила</w:t>
        </w:r>
      </w:hyperlink>
      <w:r>
        <w:t xml:space="preserve"> подготовки отчета об объеме закупок у субъектов малого предпринимательства и социально ориентированных некоммерческих организаций, его размещения в единой информационной системе (далее - Правила);</w:t>
      </w:r>
    </w:p>
    <w:p w:rsidR="00000000" w:rsidRDefault="00CC2EBA">
      <w:r>
        <w:t>- </w:t>
      </w:r>
      <w:hyperlink r:id="rId14" w:history="1">
        <w:r>
          <w:rPr>
            <w:rStyle w:val="a4"/>
          </w:rPr>
          <w:t>Форма</w:t>
        </w:r>
      </w:hyperlink>
      <w:r>
        <w:t xml:space="preserve"> отчета об объеме закупок у субъектов малого предпринимательства и социально ориентированных некоммерческих организаций (далее - Форма отчета).</w:t>
      </w:r>
    </w:p>
    <w:p w:rsidR="00000000" w:rsidRDefault="00CC2EBA">
      <w:r>
        <w:t xml:space="preserve">В соответствии с </w:t>
      </w:r>
      <w:hyperlink r:id="rId15" w:history="1">
        <w:r>
          <w:rPr>
            <w:rStyle w:val="a4"/>
          </w:rPr>
          <w:t>п. 3</w:t>
        </w:r>
      </w:hyperlink>
      <w:r>
        <w:t xml:space="preserve"> Правил подготовка отчета и его составление осуществляются по Форме отчета и в соответствии с </w:t>
      </w:r>
      <w:hyperlink r:id="rId16" w:history="1">
        <w:r>
          <w:rPr>
            <w:rStyle w:val="a4"/>
          </w:rPr>
          <w:t>Требованиями</w:t>
        </w:r>
      </w:hyperlink>
      <w:r>
        <w:t xml:space="preserve"> к заполнению формы отчета об объеме закупок у субъектов малого предприниматель</w:t>
      </w:r>
      <w:r>
        <w:t>ства и социально ориентированных некоммерческих организаций (далее - Требования), которые являются приложением к Правилам.</w:t>
      </w:r>
    </w:p>
    <w:p w:rsidR="00000000" w:rsidRDefault="00CC2EBA"/>
    <w:p w:rsidR="00000000" w:rsidRDefault="00CC2EBA">
      <w:r>
        <w:t xml:space="preserve">По мнению Минфина России, изложенному в </w:t>
      </w:r>
      <w:hyperlink r:id="rId17" w:history="1">
        <w:r>
          <w:rPr>
            <w:rStyle w:val="a4"/>
          </w:rPr>
          <w:t>письме</w:t>
        </w:r>
      </w:hyperlink>
      <w:r>
        <w:t xml:space="preserve"> от 08.11.2017 N 24</w:t>
      </w:r>
      <w:r>
        <w:t xml:space="preserve">-01-10/73595, формировать и размещать в ЕИС отчет обязаны и те заказчики, все закупки которых осуществляются в соответствии с </w:t>
      </w:r>
      <w:hyperlink r:id="rId18" w:history="1">
        <w:r>
          <w:rPr>
            <w:rStyle w:val="a4"/>
          </w:rPr>
          <w:t>п. 4 ч. 1 ст. 93</w:t>
        </w:r>
      </w:hyperlink>
      <w:r>
        <w:t xml:space="preserve"> Закона N 44-ФЗ. Они полагают, что в этом сл</w:t>
      </w:r>
      <w:r>
        <w:t>учае в отчете целесообразно указывать значение показателей равным нулю.</w:t>
      </w:r>
    </w:p>
    <w:p w:rsidR="00000000" w:rsidRDefault="00CC2EBA">
      <w:r>
        <w:t xml:space="preserve">Дело в том, что закупки у единственного контрагента, предусмотренные </w:t>
      </w:r>
      <w:hyperlink r:id="rId19" w:history="1">
        <w:r>
          <w:rPr>
            <w:rStyle w:val="a4"/>
          </w:rPr>
          <w:t>ч. 1 ст. 93</w:t>
        </w:r>
      </w:hyperlink>
      <w:r>
        <w:t xml:space="preserve"> Закона N 44-ФЗ (за исключением зак</w:t>
      </w:r>
      <w:r>
        <w:t xml:space="preserve">упок на основании </w:t>
      </w:r>
      <w:hyperlink r:id="rId20" w:history="1">
        <w:r>
          <w:rPr>
            <w:rStyle w:val="a4"/>
          </w:rPr>
          <w:t>п.п. 25 - 25.3 ч. 1 ст. 93</w:t>
        </w:r>
      </w:hyperlink>
      <w:r>
        <w:t xml:space="preserve"> Закона N 44-ФЗ, осуществленных с 1 января 2019 года по результатам несостоявшегося определения контрагентов исключительно среди СМП и СОНО),</w:t>
      </w:r>
      <w:r>
        <w:t xml:space="preserve"> не входят в расчет СГОЗ для целей определения минимального объема закупок у СМП и СОНО (</w:t>
      </w:r>
      <w:hyperlink r:id="rId21" w:history="1">
        <w:r>
          <w:rPr>
            <w:rStyle w:val="a4"/>
          </w:rPr>
          <w:t>ч. 1.1 ст. 30</w:t>
        </w:r>
      </w:hyperlink>
      <w:r>
        <w:t xml:space="preserve"> Закона N 44-ФЗ). Следовательно, если все без исключения закупки заказчик изначальн</w:t>
      </w:r>
      <w:r>
        <w:t>о осуществляет у единственного контрагента, то СГОЗ и, соответственно, минимальный объем закупок, которые нужно осуществить у СМП и СОНО, будут равны нулю. Иными словами, осуществлять в этом случае закупки у СМП и СОНО заказчик не обязан.</w:t>
      </w:r>
    </w:p>
    <w:p w:rsidR="00000000" w:rsidRDefault="00CC2EBA">
      <w:r>
        <w:t>Подробнее о закуп</w:t>
      </w:r>
      <w:r>
        <w:t xml:space="preserve">ках у СМП и СОНО смотрите в отдельном </w:t>
      </w:r>
      <w:hyperlink r:id="rId22" w:history="1">
        <w:r>
          <w:rPr>
            <w:rStyle w:val="a4"/>
          </w:rPr>
          <w:t>материале</w:t>
        </w:r>
      </w:hyperlink>
      <w:r>
        <w:t>.</w:t>
      </w:r>
    </w:p>
    <w:p w:rsidR="00000000" w:rsidRDefault="00CC2EBA"/>
    <w:p w:rsidR="00000000" w:rsidRDefault="00CC2EBA">
      <w:r>
        <w:t xml:space="preserve">Согласно </w:t>
      </w:r>
      <w:hyperlink r:id="rId23" w:history="1">
        <w:r>
          <w:rPr>
            <w:rStyle w:val="a4"/>
          </w:rPr>
          <w:t>ч. 4 ст. 30</w:t>
        </w:r>
      </w:hyperlink>
      <w:r>
        <w:t xml:space="preserve"> Закона N 44-ФЗ в отчет включается информация о:</w:t>
      </w:r>
    </w:p>
    <w:p w:rsidR="00000000" w:rsidRDefault="00CC2EBA">
      <w:r>
        <w:t xml:space="preserve">- заключенных контрактах с СМП и СОНО в соответствии с </w:t>
      </w:r>
      <w:hyperlink r:id="rId24" w:history="1">
        <w:r>
          <w:rPr>
            <w:rStyle w:val="a4"/>
          </w:rPr>
          <w:t>п. 1 ч. 1 ст. 30</w:t>
        </w:r>
      </w:hyperlink>
      <w:r>
        <w:t xml:space="preserve"> Закона N 44-ФЗ (в том числе об осуществлении у СМП и СОНО закупок, указанных в </w:t>
      </w:r>
      <w:hyperlink r:id="rId25" w:history="1">
        <w:r>
          <w:rPr>
            <w:rStyle w:val="a4"/>
          </w:rPr>
          <w:t>п.п. 1</w:t>
        </w:r>
      </w:hyperlink>
      <w:r>
        <w:t xml:space="preserve">, </w:t>
      </w:r>
      <w:hyperlink r:id="rId26" w:history="1">
        <w:r>
          <w:rPr>
            <w:rStyle w:val="a4"/>
          </w:rPr>
          <w:t>4</w:t>
        </w:r>
      </w:hyperlink>
      <w:r>
        <w:t xml:space="preserve"> и </w:t>
      </w:r>
      <w:hyperlink r:id="rId27" w:history="1">
        <w:r>
          <w:rPr>
            <w:rStyle w:val="a4"/>
          </w:rPr>
          <w:t>5 ч. 1.1 ст. 30</w:t>
        </w:r>
      </w:hyperlink>
      <w:r>
        <w:t xml:space="preserve"> Закона N 44-ФЗ (</w:t>
      </w:r>
      <w:hyperlink r:id="rId28" w:history="1">
        <w:r>
          <w:rPr>
            <w:rStyle w:val="a4"/>
          </w:rPr>
          <w:t>ч. 1.2 ст. 30</w:t>
        </w:r>
      </w:hyperlink>
      <w:r>
        <w:t xml:space="preserve"> Закона N 44-ФЗ));</w:t>
      </w:r>
    </w:p>
    <w:p w:rsidR="00000000" w:rsidRDefault="00CC2EBA">
      <w:r>
        <w:t xml:space="preserve">- объеме привлечения к исполнению заключенных в порядке, предусмотренном </w:t>
      </w:r>
      <w:hyperlink r:id="rId29" w:history="1">
        <w:r>
          <w:rPr>
            <w:rStyle w:val="a4"/>
          </w:rPr>
          <w:t>ч. 5 ст. 30</w:t>
        </w:r>
      </w:hyperlink>
      <w:r>
        <w:t xml:space="preserve"> Закона N </w:t>
      </w:r>
      <w:r>
        <w:t>44-ФЗ, контрактов СМП, СОНО в качестве субподрядчиков, соисполнителей (</w:t>
      </w:r>
      <w:hyperlink r:id="rId30" w:history="1">
        <w:r>
          <w:rPr>
            <w:rStyle w:val="a4"/>
          </w:rPr>
          <w:t>ч. 6 ст. 30</w:t>
        </w:r>
      </w:hyperlink>
      <w:r>
        <w:t xml:space="preserve"> Закона N 44-ФЗ).</w:t>
      </w:r>
    </w:p>
    <w:p w:rsidR="00000000" w:rsidRDefault="00CC2EBA">
      <w:r w:rsidRPr="0083526B">
        <w:rPr>
          <w:highlight w:val="yellow"/>
        </w:rPr>
        <w:lastRenderedPageBreak/>
        <w:t>Таким образом, объем закупок, осуществленный у СМП, СОНО, считается по сумме заключенн</w:t>
      </w:r>
      <w:r w:rsidRPr="0083526B">
        <w:rPr>
          <w:highlight w:val="yellow"/>
        </w:rPr>
        <w:t>ых контрактов</w:t>
      </w:r>
      <w:r>
        <w:t xml:space="preserve"> (см. также письма Минэкономразвития России </w:t>
      </w:r>
      <w:hyperlink r:id="rId31" w:history="1">
        <w:r>
          <w:rPr>
            <w:rStyle w:val="a4"/>
          </w:rPr>
          <w:t>от 24.06.2015 N Д28и-1748</w:t>
        </w:r>
      </w:hyperlink>
      <w:r>
        <w:t>, от 31.12.2014 N Д28и-2898 (</w:t>
      </w:r>
      <w:hyperlink r:id="rId32" w:history="1">
        <w:r>
          <w:rPr>
            <w:rStyle w:val="a4"/>
          </w:rPr>
          <w:t>п. 2</w:t>
        </w:r>
      </w:hyperlink>
      <w:r>
        <w:t>)). Инф</w:t>
      </w:r>
      <w:r>
        <w:t>ормация о контрактах, заключенных с СМП и СОНО по итогам определений контрагента, проводимых в общем порядке, а также как с единственными контрагентами, в отчет не включается.</w:t>
      </w:r>
    </w:p>
    <w:p w:rsidR="00000000" w:rsidRDefault="00CC2EBA"/>
    <w:p w:rsidR="00000000" w:rsidRDefault="00CC2EBA">
      <w:r>
        <w:t>Порядок определения всех показателей раскрывается в Требованиях.</w:t>
      </w:r>
    </w:p>
    <w:p w:rsidR="00000000" w:rsidRDefault="00CC2EBA">
      <w:r>
        <w:t>В частности, в</w:t>
      </w:r>
      <w:r>
        <w:t xml:space="preserve"> </w:t>
      </w:r>
      <w:hyperlink r:id="rId33" w:history="1">
        <w:r>
          <w:rPr>
            <w:rStyle w:val="a4"/>
          </w:rPr>
          <w:t>пп.пп. "а" - "г" п. 2</w:t>
        </w:r>
      </w:hyperlink>
      <w:r>
        <w:t xml:space="preserve"> Требований в едином, систематизированном виде повторяются правила Закона N 44-ФЗ, начиная от определения совокупного годового объема закупок и до определения доли</w:t>
      </w:r>
      <w:r>
        <w:t xml:space="preserve"> закупок у СМП, СОНО.</w:t>
      </w:r>
    </w:p>
    <w:p w:rsidR="00000000" w:rsidRDefault="00CC2EBA">
      <w:r>
        <w:t xml:space="preserve">Объем закупок по контрактам, заключенным с СМП, СОНО, рассчитывается как сумма денежных средств, подлежащих оплате в отчетном финансовом году, по контрактам, заключенным в этом финансовом году, а также до его начала по результатам </w:t>
      </w:r>
      <w:r>
        <w:rPr>
          <w:rStyle w:val="a3"/>
        </w:rPr>
        <w:t>сос</w:t>
      </w:r>
      <w:r>
        <w:rPr>
          <w:rStyle w:val="a3"/>
        </w:rPr>
        <w:t>тоявшихся</w:t>
      </w:r>
      <w:r>
        <w:t xml:space="preserve"> процедур определения контрагента, в извещении об осуществлении которых было установлено ограничение в отношении участников закупок, которыми могли быть только СМП и СОНО (</w:t>
      </w:r>
      <w:hyperlink r:id="rId34" w:history="1">
        <w:r>
          <w:rPr>
            <w:rStyle w:val="a4"/>
          </w:rPr>
          <w:t>пп. "д"</w:t>
        </w:r>
        <w:r>
          <w:rPr>
            <w:rStyle w:val="a4"/>
          </w:rPr>
          <w:t xml:space="preserve"> п. 2</w:t>
        </w:r>
      </w:hyperlink>
      <w:r>
        <w:t xml:space="preserve"> Требований).</w:t>
      </w:r>
    </w:p>
    <w:tbl>
      <w:tblPr>
        <w:tblW w:w="0" w:type="auto"/>
        <w:tblInd w:w="108" w:type="dxa"/>
        <w:tblLayout w:type="fixed"/>
        <w:tblLook w:val="0000"/>
      </w:tblPr>
      <w:tblGrid>
        <w:gridCol w:w="420"/>
        <w:gridCol w:w="9460"/>
        <w:gridCol w:w="420"/>
      </w:tblGrid>
      <w:tr w:rsidR="00000000" w:rsidRPr="00CC2EBA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030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000000" w:rsidRPr="00CC2EBA" w:rsidRDefault="00CC2EBA">
            <w:pPr>
              <w:pStyle w:val="a7"/>
              <w:rPr>
                <w:rFonts w:eastAsiaTheme="minorEastAsia"/>
              </w:rPr>
            </w:pPr>
            <w:bookmarkStart w:id="1" w:name="sub_7"/>
            <w:bookmarkEnd w:id="1"/>
          </w:p>
        </w:tc>
      </w:tr>
      <w:tr w:rsidR="00000000" w:rsidRPr="00CC2EBA">
        <w:tblPrEx>
          <w:tblCellMar>
            <w:top w:w="0" w:type="dxa"/>
            <w:bottom w:w="0" w:type="dxa"/>
          </w:tblCellMar>
        </w:tblPrEx>
        <w:tc>
          <w:tcPr>
            <w:tcW w:w="10300" w:type="dxa"/>
            <w:gridSpan w:val="3"/>
            <w:tcBorders>
              <w:top w:val="single" w:sz="4" w:space="0" w:color="FAF3E9"/>
              <w:left w:val="single" w:sz="4" w:space="0" w:color="FAF3E9"/>
              <w:bottom w:val="single" w:sz="4" w:space="0" w:color="FAF3E9"/>
              <w:right w:val="single" w:sz="4" w:space="0" w:color="FAF3E9"/>
            </w:tcBorders>
            <w:shd w:val="clear" w:color="auto" w:fill="FAF3E9"/>
          </w:tcPr>
          <w:p w:rsidR="00000000" w:rsidRPr="00CC2EBA" w:rsidRDefault="00DD416B">
            <w:pPr>
              <w:ind w:firstLine="0"/>
              <w:jc w:val="left"/>
              <w:rPr>
                <w:rFonts w:ascii="Arial" w:eastAsiaTheme="minorEastAsia" w:hAnsi="Arial" w:cs="Arial"/>
              </w:rPr>
            </w:pPr>
            <w:r w:rsidRPr="00CC2EBA">
              <w:rPr>
                <w:rFonts w:ascii="Arial" w:eastAsiaTheme="minorEastAsia" w:hAnsi="Arial" w:cs="Arial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9.3pt;height:17.85pt">
                  <v:imagedata r:id="rId35" o:title=""/>
                </v:shape>
              </w:pict>
            </w:r>
          </w:p>
        </w:tc>
      </w:tr>
      <w:tr w:rsidR="00000000" w:rsidRPr="00CC2EBA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FAF3E9"/>
              <w:left w:val="single" w:sz="4" w:space="0" w:color="FAF3E9"/>
              <w:bottom w:val="single" w:sz="4" w:space="0" w:color="FAF3E9"/>
              <w:right w:val="single" w:sz="4" w:space="0" w:color="FAF3E9"/>
            </w:tcBorders>
            <w:shd w:val="clear" w:color="auto" w:fill="FAF3E9"/>
          </w:tcPr>
          <w:p w:rsidR="00000000" w:rsidRPr="00CC2EBA" w:rsidRDefault="00CC2EBA">
            <w:pPr>
              <w:ind w:firstLine="0"/>
              <w:jc w:val="left"/>
              <w:rPr>
                <w:rFonts w:ascii="Arial" w:eastAsiaTheme="minorEastAsia" w:hAnsi="Arial" w:cs="Arial"/>
              </w:rPr>
            </w:pPr>
          </w:p>
        </w:tc>
        <w:tc>
          <w:tcPr>
            <w:tcW w:w="9460" w:type="dxa"/>
            <w:tcBorders>
              <w:top w:val="single" w:sz="4" w:space="0" w:color="FAF3E9"/>
              <w:left w:val="single" w:sz="4" w:space="0" w:color="FAF3E9"/>
              <w:bottom w:val="single" w:sz="4" w:space="0" w:color="FAF3E9"/>
              <w:right w:val="single" w:sz="4" w:space="0" w:color="FAF3E9"/>
            </w:tcBorders>
            <w:shd w:val="clear" w:color="auto" w:fill="FAF3E9"/>
          </w:tcPr>
          <w:p w:rsidR="00000000" w:rsidRPr="00CC2EBA" w:rsidRDefault="00CC2EBA">
            <w:pPr>
              <w:rPr>
                <w:rFonts w:eastAsiaTheme="minorEastAsia"/>
              </w:rPr>
            </w:pPr>
            <w:r w:rsidRPr="00CC2EBA">
              <w:rPr>
                <w:rFonts w:eastAsiaTheme="minorEastAsia"/>
              </w:rPr>
              <w:t xml:space="preserve">С 1 января 2019 года в расчет СГОЗ и в объем закупок у СМП, СОНО включаются закупки у единственного контрагента, которые осуществлены на основании </w:t>
            </w:r>
            <w:hyperlink r:id="rId36" w:history="1">
              <w:r w:rsidRPr="00CC2EBA">
                <w:rPr>
                  <w:rStyle w:val="a4"/>
                  <w:rFonts w:eastAsiaTheme="minorEastAsia"/>
                  <w:b w:val="0"/>
                  <w:bCs w:val="0"/>
                </w:rPr>
                <w:t>п.п. 25 - 25.3 ч. 1 ст. 93</w:t>
              </w:r>
            </w:hyperlink>
            <w:r w:rsidRPr="00CC2EBA">
              <w:rPr>
                <w:rFonts w:eastAsiaTheme="minorEastAsia"/>
              </w:rPr>
              <w:t xml:space="preserve"> Закона N 44-ФЗ по результатам несостоявшейся конкурентной закупки, которая проводилась исключительно среди СМП и СОНО в соответствии с </w:t>
            </w:r>
            <w:hyperlink r:id="rId37" w:history="1">
              <w:r w:rsidRPr="00CC2EBA">
                <w:rPr>
                  <w:rStyle w:val="a4"/>
                  <w:rFonts w:eastAsiaTheme="minorEastAsia"/>
                  <w:b w:val="0"/>
                  <w:bCs w:val="0"/>
                </w:rPr>
                <w:t>п. 1 ч. 1 ст. 30</w:t>
              </w:r>
            </w:hyperlink>
            <w:r w:rsidRPr="00CC2EBA">
              <w:rPr>
                <w:rFonts w:eastAsiaTheme="minorEastAsia"/>
              </w:rPr>
              <w:t xml:space="preserve"> Закона N 44-ФЗ (</w:t>
            </w:r>
            <w:hyperlink r:id="rId38" w:history="1">
              <w:r w:rsidRPr="00CC2EBA">
                <w:rPr>
                  <w:rStyle w:val="a4"/>
                  <w:rFonts w:eastAsiaTheme="minorEastAsia"/>
                  <w:b w:val="0"/>
                  <w:bCs w:val="0"/>
                </w:rPr>
                <w:t>п. 3 ч. 1.1</w:t>
              </w:r>
            </w:hyperlink>
            <w:r w:rsidRPr="00CC2EBA">
              <w:rPr>
                <w:rFonts w:eastAsiaTheme="minorEastAsia"/>
              </w:rPr>
              <w:t xml:space="preserve">, </w:t>
            </w:r>
            <w:hyperlink r:id="rId39" w:history="1">
              <w:r w:rsidRPr="00CC2EBA">
                <w:rPr>
                  <w:rStyle w:val="a4"/>
                  <w:rFonts w:eastAsiaTheme="minorEastAsia"/>
                  <w:b w:val="0"/>
                  <w:bCs w:val="0"/>
                </w:rPr>
                <w:t>ч. 4 ст. 30</w:t>
              </w:r>
            </w:hyperlink>
            <w:r w:rsidRPr="00CC2EBA">
              <w:rPr>
                <w:rFonts w:eastAsiaTheme="minorEastAsia"/>
              </w:rPr>
              <w:t xml:space="preserve"> Закона N </w:t>
            </w:r>
            <w:r w:rsidRPr="00CC2EBA">
              <w:rPr>
                <w:rFonts w:eastAsiaTheme="minorEastAsia"/>
              </w:rPr>
              <w:t>44-ФЗ).</w:t>
            </w:r>
          </w:p>
          <w:p w:rsidR="00000000" w:rsidRPr="00CC2EBA" w:rsidRDefault="00CC2EBA">
            <w:pPr>
              <w:rPr>
                <w:rFonts w:eastAsiaTheme="minorEastAsia"/>
              </w:rPr>
            </w:pPr>
            <w:r w:rsidRPr="00CC2EBA">
              <w:rPr>
                <w:rFonts w:eastAsiaTheme="minorEastAsia"/>
              </w:rPr>
              <w:t xml:space="preserve">Однако в 2019 году заказчики должны подготовить и разместить в ЕИС отчет за 2018 год. Следовательно, отчет за 2018 год должен быть подготовлен без учета вступивших в силу с 1 января 2019 года изменений в </w:t>
            </w:r>
            <w:hyperlink r:id="rId40" w:history="1">
              <w:r w:rsidRPr="00CC2EBA">
                <w:rPr>
                  <w:rStyle w:val="a4"/>
                  <w:rFonts w:eastAsiaTheme="minorEastAsia"/>
                  <w:b w:val="0"/>
                  <w:bCs w:val="0"/>
                </w:rPr>
                <w:t>п. 3 ч. 1.1</w:t>
              </w:r>
            </w:hyperlink>
            <w:r w:rsidRPr="00CC2EBA">
              <w:rPr>
                <w:rFonts w:eastAsiaTheme="minorEastAsia"/>
              </w:rPr>
              <w:t xml:space="preserve"> и </w:t>
            </w:r>
            <w:hyperlink r:id="rId41" w:history="1">
              <w:r w:rsidRPr="00CC2EBA">
                <w:rPr>
                  <w:rStyle w:val="a4"/>
                  <w:rFonts w:eastAsiaTheme="minorEastAsia"/>
                  <w:b w:val="0"/>
                  <w:bCs w:val="0"/>
                </w:rPr>
                <w:t>ч. 4 ст. 30</w:t>
              </w:r>
            </w:hyperlink>
            <w:r w:rsidRPr="00CC2EBA">
              <w:rPr>
                <w:rFonts w:eastAsiaTheme="minorEastAsia"/>
              </w:rPr>
              <w:t xml:space="preserve"> Закона N 44-ФЗ.</w:t>
            </w:r>
          </w:p>
          <w:p w:rsidR="00000000" w:rsidRPr="00CC2EBA" w:rsidRDefault="00CC2EBA">
            <w:pPr>
              <w:rPr>
                <w:rFonts w:eastAsiaTheme="minorEastAsia"/>
              </w:rPr>
            </w:pPr>
            <w:r w:rsidRPr="00CC2EBA">
              <w:rPr>
                <w:rFonts w:eastAsiaTheme="minorEastAsia"/>
              </w:rPr>
              <w:t xml:space="preserve">Таким образом, в настоящее время </w:t>
            </w:r>
            <w:hyperlink r:id="rId42" w:history="1">
              <w:r w:rsidRPr="00CC2EBA">
                <w:rPr>
                  <w:rStyle w:val="a4"/>
                  <w:rFonts w:eastAsiaTheme="minorEastAsia"/>
                  <w:b w:val="0"/>
                  <w:bCs w:val="0"/>
                </w:rPr>
                <w:t>пп. "д" п. 2</w:t>
              </w:r>
            </w:hyperlink>
            <w:r w:rsidRPr="00CC2EBA">
              <w:rPr>
                <w:rFonts w:eastAsiaTheme="minorEastAsia"/>
              </w:rPr>
              <w:t xml:space="preserve"> </w:t>
            </w:r>
            <w:r w:rsidRPr="00CC2EBA">
              <w:rPr>
                <w:rFonts w:eastAsiaTheme="minorEastAsia"/>
              </w:rPr>
              <w:t>Требований противоречит нормам Закона N 44-ФЗ, но должен быть приведен в соответствие с ними только после 1 апреля 2019 года.</w:t>
            </w:r>
          </w:p>
          <w:p w:rsidR="00000000" w:rsidRPr="00CC2EBA" w:rsidRDefault="00CC2EBA">
            <w:pPr>
              <w:rPr>
                <w:rFonts w:eastAsiaTheme="minorEastAsia"/>
              </w:rPr>
            </w:pPr>
            <w:r w:rsidRPr="00CC2EBA">
              <w:rPr>
                <w:rFonts w:eastAsiaTheme="minorEastAsia"/>
              </w:rPr>
              <w:t xml:space="preserve">Однако, по мнению Минфина России, изложенному в </w:t>
            </w:r>
            <w:hyperlink r:id="rId43" w:history="1">
              <w:r w:rsidRPr="00CC2EBA">
                <w:rPr>
                  <w:rStyle w:val="a4"/>
                  <w:rFonts w:eastAsiaTheme="minorEastAsia"/>
                  <w:b w:val="0"/>
                  <w:bCs w:val="0"/>
                </w:rPr>
                <w:t>письме</w:t>
              </w:r>
            </w:hyperlink>
            <w:r w:rsidRPr="00CC2EBA">
              <w:rPr>
                <w:rFonts w:eastAsiaTheme="minorEastAsia"/>
              </w:rPr>
              <w:t xml:space="preserve"> от 02.11</w:t>
            </w:r>
            <w:r w:rsidRPr="00CC2EBA">
              <w:rPr>
                <w:rFonts w:eastAsiaTheme="minorEastAsia"/>
              </w:rPr>
              <w:t>.2018 N 24-01-07/79316, изменения, вступившие в силу с 1 января 2019 года, должны быть учтены при подготовке отчета за 2018 год.</w:t>
            </w:r>
          </w:p>
          <w:p w:rsidR="00000000" w:rsidRPr="00CC2EBA" w:rsidRDefault="00CC2EBA">
            <w:pPr>
              <w:rPr>
                <w:rFonts w:eastAsiaTheme="minorEastAsia"/>
              </w:rPr>
            </w:pPr>
          </w:p>
        </w:tc>
        <w:tc>
          <w:tcPr>
            <w:tcW w:w="420" w:type="dxa"/>
            <w:tcBorders>
              <w:top w:val="single" w:sz="4" w:space="0" w:color="FAF3E9"/>
              <w:left w:val="single" w:sz="4" w:space="0" w:color="FAF3E9"/>
              <w:bottom w:val="single" w:sz="4" w:space="0" w:color="FAF3E9"/>
              <w:right w:val="single" w:sz="4" w:space="0" w:color="FAF3E9"/>
            </w:tcBorders>
            <w:shd w:val="clear" w:color="auto" w:fill="FAF3E9"/>
          </w:tcPr>
          <w:p w:rsidR="00000000" w:rsidRPr="00CC2EBA" w:rsidRDefault="00CC2EBA">
            <w:pPr>
              <w:rPr>
                <w:rFonts w:eastAsiaTheme="minorEastAsia"/>
              </w:rPr>
            </w:pPr>
          </w:p>
        </w:tc>
      </w:tr>
      <w:tr w:rsidR="00000000" w:rsidRPr="00CC2EBA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030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000000" w:rsidRPr="00CC2EBA" w:rsidRDefault="00CC2EBA">
            <w:pPr>
              <w:pStyle w:val="a7"/>
              <w:rPr>
                <w:rFonts w:eastAsiaTheme="minorEastAsia"/>
              </w:rPr>
            </w:pPr>
          </w:p>
        </w:tc>
      </w:tr>
    </w:tbl>
    <w:p w:rsidR="00000000" w:rsidRDefault="00CC2EBA">
      <w:r>
        <w:t xml:space="preserve">Объем привлечения к исполнению заключенных в порядке, предусмотренном </w:t>
      </w:r>
      <w:hyperlink r:id="rId44" w:history="1">
        <w:r>
          <w:rPr>
            <w:rStyle w:val="a4"/>
          </w:rPr>
          <w:t>ч. 5 ст. 30</w:t>
        </w:r>
      </w:hyperlink>
      <w:r>
        <w:t xml:space="preserve"> Закона N 44-ФЗ, контрактов СМП, СОНО в качестве субподрядчиков, соисполнителей рассчитывается как сумма денежных средств, подлежащих оплате контрагентами в отчетном финансово</w:t>
      </w:r>
      <w:r>
        <w:t xml:space="preserve">м году субподрядчикам (соисполнителям) из числа СМП и СОНО, привлеченным к исполнению контрактов, заключенных в отчетном финансовом году, а также до его начала по результатам определений контрагентов, в извещениях об осуществлении которых было установлено </w:t>
      </w:r>
      <w:r>
        <w:t>соответствующее требование. При этом учитываются только объемы фактического привлечения в отчетном году к исполнению контрактов субподрядчиков (соисполнителей) из числа СМП и СОНО, но не более объема, установленного условиями контракта в виде процента цены</w:t>
      </w:r>
      <w:r>
        <w:t xml:space="preserve"> контракта. В случае если контрагент, с которым заключен контракт в соответствии </w:t>
      </w:r>
      <w:hyperlink r:id="rId45" w:history="1">
        <w:r>
          <w:rPr>
            <w:rStyle w:val="a4"/>
          </w:rPr>
          <w:t>с ч. 5 ст. 30</w:t>
        </w:r>
      </w:hyperlink>
      <w:r>
        <w:t xml:space="preserve"> Закона N 44-ФЗ, сам является СМП или СОНО, учитывается только объем, установленный условиям</w:t>
      </w:r>
      <w:r>
        <w:t>и контракта в виде процента цены контракта (</w:t>
      </w:r>
      <w:hyperlink r:id="rId46" w:history="1">
        <w:r>
          <w:rPr>
            <w:rStyle w:val="a4"/>
          </w:rPr>
          <w:t xml:space="preserve">пп. "е" п. 2 </w:t>
        </w:r>
      </w:hyperlink>
      <w:r>
        <w:t>Требований).</w:t>
      </w:r>
    </w:p>
    <w:tbl>
      <w:tblPr>
        <w:tblW w:w="0" w:type="auto"/>
        <w:tblInd w:w="108" w:type="dxa"/>
        <w:tblLayout w:type="fixed"/>
        <w:tblLook w:val="0000"/>
      </w:tblPr>
      <w:tblGrid>
        <w:gridCol w:w="420"/>
        <w:gridCol w:w="9460"/>
        <w:gridCol w:w="420"/>
      </w:tblGrid>
      <w:tr w:rsidR="00000000" w:rsidRPr="00CC2EBA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030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000000" w:rsidRPr="00CC2EBA" w:rsidRDefault="00CC2EBA">
            <w:pPr>
              <w:pStyle w:val="a7"/>
              <w:rPr>
                <w:rFonts w:eastAsiaTheme="minorEastAsia"/>
              </w:rPr>
            </w:pPr>
            <w:bookmarkStart w:id="2" w:name="sub_5"/>
            <w:bookmarkEnd w:id="2"/>
          </w:p>
        </w:tc>
      </w:tr>
      <w:tr w:rsidR="00000000" w:rsidRPr="00CC2EBA">
        <w:tblPrEx>
          <w:tblCellMar>
            <w:top w:w="0" w:type="dxa"/>
            <w:bottom w:w="0" w:type="dxa"/>
          </w:tblCellMar>
        </w:tblPrEx>
        <w:tc>
          <w:tcPr>
            <w:tcW w:w="10300" w:type="dxa"/>
            <w:gridSpan w:val="3"/>
            <w:tcBorders>
              <w:top w:val="single" w:sz="4" w:space="0" w:color="FAF3E9"/>
              <w:left w:val="single" w:sz="4" w:space="0" w:color="FAF3E9"/>
              <w:bottom w:val="single" w:sz="4" w:space="0" w:color="FAF3E9"/>
              <w:right w:val="single" w:sz="4" w:space="0" w:color="FAF3E9"/>
            </w:tcBorders>
            <w:shd w:val="clear" w:color="auto" w:fill="FAF3E9"/>
          </w:tcPr>
          <w:p w:rsidR="00000000" w:rsidRPr="00CC2EBA" w:rsidRDefault="00DD416B">
            <w:pPr>
              <w:ind w:firstLine="0"/>
              <w:jc w:val="left"/>
              <w:rPr>
                <w:rFonts w:ascii="Arial" w:eastAsiaTheme="minorEastAsia" w:hAnsi="Arial" w:cs="Arial"/>
              </w:rPr>
            </w:pPr>
            <w:r w:rsidRPr="00CC2EBA">
              <w:rPr>
                <w:rFonts w:ascii="Arial" w:eastAsiaTheme="minorEastAsia" w:hAnsi="Arial" w:cs="Arial"/>
              </w:rPr>
              <w:pict>
                <v:shape id="_x0000_i1026" type="#_x0000_t75" style="width:199.3pt;height:17.85pt">
                  <v:imagedata r:id="rId35" o:title=""/>
                </v:shape>
              </w:pict>
            </w:r>
          </w:p>
        </w:tc>
      </w:tr>
      <w:tr w:rsidR="00000000" w:rsidRPr="00CC2EBA">
        <w:tblPrEx>
          <w:tblCellMar>
            <w:top w:w="0" w:type="dxa"/>
            <w:bottom w:w="0" w:type="dxa"/>
          </w:tblCellMar>
        </w:tblPrEx>
        <w:tc>
          <w:tcPr>
            <w:tcW w:w="420" w:type="dxa"/>
            <w:tcBorders>
              <w:top w:val="single" w:sz="4" w:space="0" w:color="FAF3E9"/>
              <w:left w:val="single" w:sz="4" w:space="0" w:color="FAF3E9"/>
              <w:bottom w:val="single" w:sz="4" w:space="0" w:color="FAF3E9"/>
              <w:right w:val="single" w:sz="4" w:space="0" w:color="FAF3E9"/>
            </w:tcBorders>
            <w:shd w:val="clear" w:color="auto" w:fill="FAF3E9"/>
          </w:tcPr>
          <w:p w:rsidR="00000000" w:rsidRPr="00CC2EBA" w:rsidRDefault="00CC2EBA">
            <w:pPr>
              <w:ind w:firstLine="0"/>
              <w:jc w:val="left"/>
              <w:rPr>
                <w:rFonts w:ascii="Arial" w:eastAsiaTheme="minorEastAsia" w:hAnsi="Arial" w:cs="Arial"/>
              </w:rPr>
            </w:pPr>
          </w:p>
        </w:tc>
        <w:tc>
          <w:tcPr>
            <w:tcW w:w="9460" w:type="dxa"/>
            <w:tcBorders>
              <w:top w:val="single" w:sz="4" w:space="0" w:color="FAF3E9"/>
              <w:left w:val="single" w:sz="4" w:space="0" w:color="FAF3E9"/>
              <w:bottom w:val="single" w:sz="4" w:space="0" w:color="FAF3E9"/>
              <w:right w:val="single" w:sz="4" w:space="0" w:color="FAF3E9"/>
            </w:tcBorders>
            <w:shd w:val="clear" w:color="auto" w:fill="FAF3E9"/>
          </w:tcPr>
          <w:p w:rsidR="00000000" w:rsidRPr="00CC2EBA" w:rsidRDefault="00CC2EBA">
            <w:pPr>
              <w:rPr>
                <w:rFonts w:eastAsiaTheme="minorEastAsia"/>
              </w:rPr>
            </w:pPr>
            <w:r w:rsidRPr="00CC2EBA">
              <w:rPr>
                <w:rFonts w:eastAsiaTheme="minorEastAsia"/>
              </w:rPr>
              <w:t>Информация, содержащая государственную тайну, не указывает</w:t>
            </w:r>
            <w:r w:rsidRPr="00CC2EBA">
              <w:rPr>
                <w:rFonts w:eastAsiaTheme="minorEastAsia"/>
              </w:rPr>
              <w:t>ся в отчете и не размещается в ЕИС (</w:t>
            </w:r>
            <w:hyperlink r:id="rId47" w:history="1">
              <w:r w:rsidRPr="00CC2EBA">
                <w:rPr>
                  <w:rStyle w:val="a4"/>
                  <w:rFonts w:eastAsiaTheme="minorEastAsia"/>
                  <w:b w:val="0"/>
                  <w:bCs w:val="0"/>
                </w:rPr>
                <w:t>п. 4</w:t>
              </w:r>
            </w:hyperlink>
            <w:r w:rsidRPr="00CC2EBA">
              <w:rPr>
                <w:rFonts w:eastAsiaTheme="minorEastAsia"/>
              </w:rPr>
              <w:t xml:space="preserve"> Правил).</w:t>
            </w:r>
          </w:p>
          <w:p w:rsidR="00000000" w:rsidRPr="00CC2EBA" w:rsidRDefault="00CC2EBA">
            <w:pPr>
              <w:rPr>
                <w:rFonts w:eastAsiaTheme="minorEastAsia"/>
              </w:rPr>
            </w:pPr>
          </w:p>
        </w:tc>
        <w:tc>
          <w:tcPr>
            <w:tcW w:w="420" w:type="dxa"/>
            <w:tcBorders>
              <w:top w:val="single" w:sz="4" w:space="0" w:color="FAF3E9"/>
              <w:left w:val="single" w:sz="4" w:space="0" w:color="FAF3E9"/>
              <w:bottom w:val="single" w:sz="4" w:space="0" w:color="FAF3E9"/>
              <w:right w:val="single" w:sz="4" w:space="0" w:color="FAF3E9"/>
            </w:tcBorders>
            <w:shd w:val="clear" w:color="auto" w:fill="FAF3E9"/>
          </w:tcPr>
          <w:p w:rsidR="00000000" w:rsidRPr="00CC2EBA" w:rsidRDefault="00CC2EBA">
            <w:pPr>
              <w:rPr>
                <w:rFonts w:eastAsiaTheme="minorEastAsia"/>
              </w:rPr>
            </w:pPr>
          </w:p>
        </w:tc>
      </w:tr>
      <w:tr w:rsidR="00000000" w:rsidRPr="00CC2EBA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030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000000" w:rsidRPr="00CC2EBA" w:rsidRDefault="00CC2EBA">
            <w:pPr>
              <w:pStyle w:val="a7"/>
              <w:rPr>
                <w:rFonts w:eastAsiaTheme="minorEastAsia"/>
              </w:rPr>
            </w:pPr>
          </w:p>
        </w:tc>
      </w:tr>
    </w:tbl>
    <w:p w:rsidR="00000000" w:rsidRDefault="00CC2EBA">
      <w:bookmarkStart w:id="3" w:name="sub_6"/>
      <w:r>
        <w:t xml:space="preserve">Как указано в </w:t>
      </w:r>
      <w:hyperlink r:id="rId48" w:history="1">
        <w:r>
          <w:rPr>
            <w:rStyle w:val="a4"/>
          </w:rPr>
          <w:t>п. 4</w:t>
        </w:r>
      </w:hyperlink>
      <w:r>
        <w:t xml:space="preserve"> Правил, отчет по итогам отчетного года в форме электронного документа подписывается электронной подписью уполномоченного должностного лица заказчика и размещается в ЕИС в срок до 1 апреля года, следующего за отчетным. При этом датой составления отчета явл</w:t>
      </w:r>
      <w:r>
        <w:t>яется дата размещения отчета в ЕИС.</w:t>
      </w:r>
    </w:p>
    <w:bookmarkEnd w:id="3"/>
    <w:p w:rsidR="00CC2EBA" w:rsidRDefault="00CC2EBA"/>
    <w:sectPr w:rsidR="00CC2EBA">
      <w:headerReference w:type="default" r:id="rId49"/>
      <w:footerReference w:type="default" r:id="rId50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2EBA" w:rsidRDefault="00CC2EBA">
      <w:r>
        <w:separator/>
      </w:r>
    </w:p>
  </w:endnote>
  <w:endnote w:type="continuationSeparator" w:id="1">
    <w:p w:rsidR="00CC2EBA" w:rsidRDefault="00CC2E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  <w:gridCol w:w="3432"/>
      <w:gridCol w:w="3432"/>
    </w:tblGrid>
    <w:tr w:rsidR="00000000" w:rsidRPr="00CC2EBA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000000" w:rsidRPr="00CC2EBA" w:rsidRDefault="00CC2EBA">
          <w:pPr>
            <w:ind w:firstLine="0"/>
            <w:jc w:val="left"/>
            <w:rPr>
              <w:rFonts w:ascii="Times New Roman" w:eastAsiaTheme="minorEastAsia" w:hAnsi="Times New Roman" w:cs="Times New Roman"/>
              <w:sz w:val="20"/>
              <w:szCs w:val="20"/>
            </w:rPr>
          </w:pPr>
          <w:r w:rsidRPr="00CC2EBA">
            <w:rPr>
              <w:rFonts w:ascii="Times New Roman" w:eastAsiaTheme="minorEastAsia" w:hAnsi="Times New Roman" w:cs="Times New Roman"/>
              <w:sz w:val="20"/>
              <w:szCs w:val="20"/>
            </w:rPr>
            <w:fldChar w:fldCharType="begin"/>
          </w:r>
          <w:r w:rsidRPr="00CC2EBA">
            <w:rPr>
              <w:rFonts w:ascii="Times New Roman" w:eastAsiaTheme="minorEastAsia" w:hAnsi="Times New Roman" w:cs="Times New Roman"/>
              <w:sz w:val="20"/>
              <w:szCs w:val="20"/>
            </w:rPr>
            <w:instrText>DATE  \</w:instrText>
          </w:r>
          <w:r w:rsidRPr="00CC2EBA">
            <w:rPr>
              <w:rFonts w:ascii="Times New Roman" w:eastAsiaTheme="minorEastAsia" w:hAnsi="Times New Roman" w:cs="Times New Roman"/>
              <w:sz w:val="20"/>
              <w:szCs w:val="20"/>
            </w:rPr>
            <w:instrText xml:space="preserve">@ "dd.MM.yyyy"  \* MERGEFORMAT </w:instrText>
          </w:r>
          <w:r w:rsidR="000D27AF" w:rsidRPr="00CC2EBA">
            <w:rPr>
              <w:rFonts w:ascii="Times New Roman" w:eastAsiaTheme="minorEastAsia" w:hAnsi="Times New Roman" w:cs="Times New Roman"/>
              <w:sz w:val="20"/>
              <w:szCs w:val="20"/>
            </w:rPr>
            <w:fldChar w:fldCharType="separate"/>
          </w:r>
          <w:r w:rsidR="000D27AF" w:rsidRPr="00CC2EBA">
            <w:rPr>
              <w:rFonts w:ascii="Times New Roman" w:eastAsiaTheme="minorEastAsia" w:hAnsi="Times New Roman" w:cs="Times New Roman"/>
              <w:noProof/>
              <w:sz w:val="20"/>
              <w:szCs w:val="20"/>
            </w:rPr>
            <w:t>15.03.2019</w:t>
          </w:r>
          <w:r w:rsidRPr="00CC2EBA">
            <w:rPr>
              <w:rFonts w:ascii="Times New Roman" w:eastAsiaTheme="minorEastAsia" w:hAnsi="Times New Roman" w:cs="Times New Roman"/>
              <w:sz w:val="20"/>
              <w:szCs w:val="20"/>
            </w:rPr>
            <w:fldChar w:fldCharType="end"/>
          </w:r>
          <w:r w:rsidRPr="00CC2EBA">
            <w:rPr>
              <w:rFonts w:ascii="Times New Roman" w:eastAsiaTheme="minorEastAsia" w:hAnsi="Times New Roman" w:cs="Times New Roman"/>
              <w:sz w:val="20"/>
              <w:szCs w:val="20"/>
            </w:rPr>
            <w:t xml:space="preserve"> 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00000" w:rsidRPr="00CC2EBA" w:rsidRDefault="00CC2EBA">
          <w:pPr>
            <w:ind w:firstLine="0"/>
            <w:jc w:val="center"/>
            <w:rPr>
              <w:rFonts w:ascii="Times New Roman" w:eastAsiaTheme="minorEastAsia" w:hAnsi="Times New Roman" w:cs="Times New Roman"/>
              <w:sz w:val="20"/>
              <w:szCs w:val="20"/>
            </w:rPr>
          </w:pPr>
          <w:r w:rsidRPr="00CC2EBA">
            <w:rPr>
              <w:rFonts w:ascii="Times New Roman" w:eastAsiaTheme="minorEastAsia" w:hAnsi="Times New Roman" w:cs="Times New Roman"/>
              <w:sz w:val="20"/>
              <w:szCs w:val="20"/>
            </w:rPr>
            <w:t>Система ГАРАНТ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00000" w:rsidRPr="00CC2EBA" w:rsidRDefault="00CC2EBA">
          <w:pPr>
            <w:ind w:firstLine="0"/>
            <w:jc w:val="right"/>
            <w:rPr>
              <w:rFonts w:ascii="Times New Roman" w:eastAsiaTheme="minorEastAsia" w:hAnsi="Times New Roman" w:cs="Times New Roman"/>
              <w:sz w:val="20"/>
              <w:szCs w:val="20"/>
            </w:rPr>
          </w:pPr>
          <w:r w:rsidRPr="00CC2EBA">
            <w:rPr>
              <w:rFonts w:ascii="Times New Roman" w:eastAsiaTheme="minorEastAsia" w:hAnsi="Times New Roman" w:cs="Times New Roman"/>
              <w:sz w:val="20"/>
              <w:szCs w:val="20"/>
            </w:rPr>
            <w:fldChar w:fldCharType="begin"/>
          </w:r>
          <w:r w:rsidRPr="00CC2EBA">
            <w:rPr>
              <w:rFonts w:ascii="Times New Roman" w:eastAsiaTheme="minorEastAsia" w:hAnsi="Times New Roman" w:cs="Times New Roman"/>
              <w:sz w:val="20"/>
              <w:szCs w:val="20"/>
            </w:rPr>
            <w:instrText xml:space="preserve">PAGE  \* MERGEFORMAT </w:instrText>
          </w:r>
          <w:r w:rsidR="000D27AF" w:rsidRPr="00CC2EBA">
            <w:rPr>
              <w:rFonts w:ascii="Times New Roman" w:eastAsiaTheme="minorEastAsia" w:hAnsi="Times New Roman" w:cs="Times New Roman"/>
              <w:sz w:val="20"/>
              <w:szCs w:val="20"/>
            </w:rPr>
            <w:fldChar w:fldCharType="separate"/>
          </w:r>
          <w:r w:rsidR="0083526B" w:rsidRPr="00CC2EBA">
            <w:rPr>
              <w:rFonts w:ascii="Times New Roman" w:eastAsiaTheme="minorEastAsia" w:hAnsi="Times New Roman" w:cs="Times New Roman"/>
              <w:noProof/>
              <w:sz w:val="20"/>
              <w:szCs w:val="20"/>
            </w:rPr>
            <w:t>2</w:t>
          </w:r>
          <w:r w:rsidRPr="00CC2EBA">
            <w:rPr>
              <w:rFonts w:ascii="Times New Roman" w:eastAsiaTheme="minorEastAsia" w:hAnsi="Times New Roman" w:cs="Times New Roman"/>
              <w:sz w:val="20"/>
              <w:szCs w:val="20"/>
            </w:rPr>
            <w:fldChar w:fldCharType="end"/>
          </w:r>
          <w:r w:rsidRPr="00CC2EBA">
            <w:rPr>
              <w:rFonts w:ascii="Times New Roman" w:eastAsiaTheme="minorEastAsia" w:hAnsi="Times New Roman" w:cs="Times New Roman"/>
              <w:sz w:val="20"/>
              <w:szCs w:val="20"/>
            </w:rPr>
            <w:t>/</w:t>
          </w:r>
          <w:fldSimple w:instr="NUMPAGES  \* Arabic  \* MERGEFORMAT ">
            <w:r w:rsidR="0083526B" w:rsidRPr="00CC2EBA">
              <w:rPr>
                <w:rFonts w:ascii="Times New Roman" w:eastAsiaTheme="minorEastAsia" w:hAnsi="Times New Roman" w:cs="Times New Roman"/>
                <w:noProof/>
                <w:sz w:val="20"/>
                <w:szCs w:val="20"/>
              </w:rPr>
              <w:t>3</w:t>
            </w:r>
          </w:fldSimple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2EBA" w:rsidRDefault="00CC2EBA">
      <w:r>
        <w:separator/>
      </w:r>
    </w:p>
  </w:footnote>
  <w:footnote w:type="continuationSeparator" w:id="1">
    <w:p w:rsidR="00CC2EBA" w:rsidRDefault="00CC2E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C2EBA">
    <w:pPr>
      <w:ind w:firstLine="0"/>
      <w:jc w:val="lef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Энциклопедия решений. Годовой отчет заказчика по Закону N 44-ФЗ об объеме закупок у субъектов малого…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416B"/>
    <w:rsid w:val="000D27AF"/>
    <w:rsid w:val="0083526B"/>
    <w:rsid w:val="00CC2EBA"/>
    <w:rsid w:val="00DD4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paragraph" w:customStyle="1" w:styleId="a5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AF3E9"/>
    </w:rPr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6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character" w:customStyle="1" w:styleId="a8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0D27A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0D27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document?id=70798286&amp;sub=1000" TargetMode="External"/><Relationship Id="rId18" Type="http://schemas.openxmlformats.org/officeDocument/2006/relationships/hyperlink" Target="http://internet.garant.ru/document?id=70253464&amp;sub=9314" TargetMode="External"/><Relationship Id="rId26" Type="http://schemas.openxmlformats.org/officeDocument/2006/relationships/hyperlink" Target="http://internet.garant.ru/document?id=70253464&amp;sub=31114" TargetMode="External"/><Relationship Id="rId39" Type="http://schemas.openxmlformats.org/officeDocument/2006/relationships/hyperlink" Target="http://internet.garant.ru/document?id=70253464&amp;sub=304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?id=70253464&amp;sub=30111" TargetMode="External"/><Relationship Id="rId34" Type="http://schemas.openxmlformats.org/officeDocument/2006/relationships/hyperlink" Target="http://internet.garant.ru/document?id=70798286&amp;sub=11025" TargetMode="External"/><Relationship Id="rId42" Type="http://schemas.openxmlformats.org/officeDocument/2006/relationships/hyperlink" Target="http://internet.garant.ru/document?id=70798286&amp;sub=11025" TargetMode="External"/><Relationship Id="rId47" Type="http://schemas.openxmlformats.org/officeDocument/2006/relationships/hyperlink" Target="http://internet.garant.ru/document?id=70798286&amp;sub=1004" TargetMode="External"/><Relationship Id="rId50" Type="http://schemas.openxmlformats.org/officeDocument/2006/relationships/footer" Target="footer1.xml"/><Relationship Id="rId7" Type="http://schemas.openxmlformats.org/officeDocument/2006/relationships/hyperlink" Target="http://internet.garant.ru/document?id=57979833&amp;sub=0" TargetMode="External"/><Relationship Id="rId12" Type="http://schemas.openxmlformats.org/officeDocument/2006/relationships/hyperlink" Target="http://internet.garant.ru/document?id=70798286&amp;sub=0" TargetMode="External"/><Relationship Id="rId17" Type="http://schemas.openxmlformats.org/officeDocument/2006/relationships/hyperlink" Target="http://internet.garant.ru/document?id=71750864&amp;sub=0" TargetMode="External"/><Relationship Id="rId25" Type="http://schemas.openxmlformats.org/officeDocument/2006/relationships/hyperlink" Target="http://internet.garant.ru/document?id=70253464&amp;sub=31111" TargetMode="External"/><Relationship Id="rId33" Type="http://schemas.openxmlformats.org/officeDocument/2006/relationships/hyperlink" Target="http://internet.garant.ru/document?id=70798286&amp;sub=11021" TargetMode="External"/><Relationship Id="rId38" Type="http://schemas.openxmlformats.org/officeDocument/2006/relationships/hyperlink" Target="http://internet.garant.ru/document?id=70253464&amp;sub=31113" TargetMode="External"/><Relationship Id="rId46" Type="http://schemas.openxmlformats.org/officeDocument/2006/relationships/hyperlink" Target="http://internet.garant.ru/document?id=70798286&amp;sub=11026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?id=70798286&amp;sub=11000" TargetMode="External"/><Relationship Id="rId20" Type="http://schemas.openxmlformats.org/officeDocument/2006/relationships/hyperlink" Target="http://internet.garant.ru/document?id=70253464&amp;sub=93125" TargetMode="External"/><Relationship Id="rId29" Type="http://schemas.openxmlformats.org/officeDocument/2006/relationships/hyperlink" Target="http://internet.garant.ru/document?id=70253464&amp;sub=3050" TargetMode="External"/><Relationship Id="rId41" Type="http://schemas.openxmlformats.org/officeDocument/2006/relationships/hyperlink" Target="http://internet.garant.ru/document?id=70253464&amp;sub=304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?id=70253464&amp;sub=30401" TargetMode="External"/><Relationship Id="rId24" Type="http://schemas.openxmlformats.org/officeDocument/2006/relationships/hyperlink" Target="http://internet.garant.ru/document?id=70253464&amp;sub=30101" TargetMode="External"/><Relationship Id="rId32" Type="http://schemas.openxmlformats.org/officeDocument/2006/relationships/hyperlink" Target="http://internet.garant.ru/document?id=70790460&amp;sub=2" TargetMode="External"/><Relationship Id="rId37" Type="http://schemas.openxmlformats.org/officeDocument/2006/relationships/hyperlink" Target="http://internet.garant.ru/document?id=70253464&amp;sub=30101" TargetMode="External"/><Relationship Id="rId40" Type="http://schemas.openxmlformats.org/officeDocument/2006/relationships/hyperlink" Target="http://internet.garant.ru/document?id=70253464&amp;sub=31113" TargetMode="External"/><Relationship Id="rId45" Type="http://schemas.openxmlformats.org/officeDocument/2006/relationships/hyperlink" Target="http://internet.garant.ru/document?id=70253464&amp;sub=305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internet.garant.ru/document?id=70798286&amp;sub=1003" TargetMode="External"/><Relationship Id="rId23" Type="http://schemas.openxmlformats.org/officeDocument/2006/relationships/hyperlink" Target="http://internet.garant.ru/document?id=70253464&amp;sub=3040" TargetMode="External"/><Relationship Id="rId28" Type="http://schemas.openxmlformats.org/officeDocument/2006/relationships/hyperlink" Target="http://internet.garant.ru/document?id=70253464&amp;sub=30112" TargetMode="External"/><Relationship Id="rId36" Type="http://schemas.openxmlformats.org/officeDocument/2006/relationships/hyperlink" Target="http://internet.garant.ru/document?id=70253464&amp;sub=93125" TargetMode="External"/><Relationship Id="rId49" Type="http://schemas.openxmlformats.org/officeDocument/2006/relationships/header" Target="header1.xml"/><Relationship Id="rId10" Type="http://schemas.openxmlformats.org/officeDocument/2006/relationships/hyperlink" Target="http://internet.garant.ru/document?id=70798286&amp;sub=2000" TargetMode="External"/><Relationship Id="rId19" Type="http://schemas.openxmlformats.org/officeDocument/2006/relationships/hyperlink" Target="http://internet.garant.ru/document?id=70253464&amp;sub=931" TargetMode="External"/><Relationship Id="rId31" Type="http://schemas.openxmlformats.org/officeDocument/2006/relationships/hyperlink" Target="http://internet.garant.ru/document?id=71127464&amp;sub=0" TargetMode="External"/><Relationship Id="rId44" Type="http://schemas.openxmlformats.org/officeDocument/2006/relationships/hyperlink" Target="http://internet.garant.ru/document?id=70253464&amp;sub=3050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70798286&amp;sub=1000" TargetMode="External"/><Relationship Id="rId14" Type="http://schemas.openxmlformats.org/officeDocument/2006/relationships/hyperlink" Target="http://internet.garant.ru/document?id=70798286&amp;sub=2000" TargetMode="External"/><Relationship Id="rId22" Type="http://schemas.openxmlformats.org/officeDocument/2006/relationships/hyperlink" Target="http://internet.garant.ru/document?id=57979572&amp;sub=0" TargetMode="External"/><Relationship Id="rId27" Type="http://schemas.openxmlformats.org/officeDocument/2006/relationships/hyperlink" Target="http://internet.garant.ru/document?id=70253464&amp;sub=31115" TargetMode="External"/><Relationship Id="rId30" Type="http://schemas.openxmlformats.org/officeDocument/2006/relationships/hyperlink" Target="http://internet.garant.ru/document?id=70253464&amp;sub=3060" TargetMode="External"/><Relationship Id="rId35" Type="http://schemas.openxmlformats.org/officeDocument/2006/relationships/image" Target="media/image1.png"/><Relationship Id="rId43" Type="http://schemas.openxmlformats.org/officeDocument/2006/relationships/hyperlink" Target="http://internet.garant.ru/document?id=72043592&amp;sub=0" TargetMode="External"/><Relationship Id="rId48" Type="http://schemas.openxmlformats.org/officeDocument/2006/relationships/hyperlink" Target="http://internet.garant.ru/document?id=70798286&amp;sub=1004" TargetMode="External"/><Relationship Id="rId8" Type="http://schemas.openxmlformats.org/officeDocument/2006/relationships/hyperlink" Target="http://internet.garant.ru/document?id=70253464&amp;sub=3040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1446</Words>
  <Characters>8243</Characters>
  <Application>Microsoft Office Word</Application>
  <DocSecurity>0</DocSecurity>
  <Lines>68</Lines>
  <Paragraphs>19</Paragraphs>
  <ScaleCrop>false</ScaleCrop>
  <Company>НПП "Гарант-Сервис"</Company>
  <LinksUpToDate>false</LinksUpToDate>
  <CharactersWithSpaces>9670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Светлана</cp:lastModifiedBy>
  <cp:revision>3</cp:revision>
  <dcterms:created xsi:type="dcterms:W3CDTF">2019-03-15T16:56:00Z</dcterms:created>
  <dcterms:modified xsi:type="dcterms:W3CDTF">2019-03-15T16:58:00Z</dcterms:modified>
</cp:coreProperties>
</file>