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C1F" w:rsidRPr="00F90CD2" w:rsidRDefault="002B7C1F" w:rsidP="002B7C1F">
      <w:pPr>
        <w:pStyle w:val="a3"/>
        <w:tabs>
          <w:tab w:val="left" w:pos="0"/>
        </w:tabs>
        <w:spacing w:after="0"/>
        <w:ind w:left="0"/>
        <w:jc w:val="both"/>
        <w:rPr>
          <w:bCs/>
          <w:sz w:val="22"/>
          <w:szCs w:val="22"/>
        </w:rPr>
      </w:pPr>
      <w:r w:rsidRPr="00F90CD2">
        <w:rPr>
          <w:bCs/>
          <w:sz w:val="22"/>
          <w:szCs w:val="22"/>
        </w:rPr>
        <w:t>Заявка на участие в электронном аукционе состоит из двух частей:</w:t>
      </w:r>
    </w:p>
    <w:p w:rsidR="002B7C1F" w:rsidRPr="00F90CD2" w:rsidRDefault="002B7C1F" w:rsidP="002B7C1F">
      <w:pPr>
        <w:pStyle w:val="a3"/>
        <w:tabs>
          <w:tab w:val="left" w:pos="0"/>
        </w:tabs>
        <w:spacing w:after="0"/>
        <w:ind w:left="0"/>
        <w:jc w:val="both"/>
        <w:rPr>
          <w:bCs/>
          <w:sz w:val="22"/>
          <w:szCs w:val="22"/>
        </w:rPr>
      </w:pPr>
      <w:r w:rsidRPr="00F90CD2">
        <w:rPr>
          <w:bCs/>
          <w:sz w:val="22"/>
          <w:szCs w:val="22"/>
        </w:rPr>
        <w:t xml:space="preserve">1. </w:t>
      </w:r>
      <w:r w:rsidRPr="00F90CD2">
        <w:rPr>
          <w:b/>
          <w:bCs/>
          <w:sz w:val="22"/>
          <w:szCs w:val="22"/>
        </w:rPr>
        <w:t>Первая часть заявки</w:t>
      </w:r>
      <w:r w:rsidRPr="00F90CD2">
        <w:rPr>
          <w:bCs/>
          <w:sz w:val="22"/>
          <w:szCs w:val="22"/>
        </w:rPr>
        <w:t xml:space="preserve"> на участие в электронном аукционе должна содержать следующие сведения:</w:t>
      </w:r>
    </w:p>
    <w:p w:rsidR="002B7C1F" w:rsidRPr="00F90CD2" w:rsidRDefault="002B7C1F" w:rsidP="002B7C1F">
      <w:pPr>
        <w:autoSpaceDE w:val="0"/>
        <w:autoSpaceDN w:val="0"/>
        <w:adjustRightInd w:val="0"/>
        <w:ind w:firstLine="540"/>
        <w:jc w:val="both"/>
      </w:pPr>
      <w:r w:rsidRPr="00F90CD2">
        <w:t xml:space="preserve">а) согласие участника </w:t>
      </w:r>
      <w:r w:rsidRPr="00F90CD2">
        <w:rPr>
          <w:bCs/>
        </w:rPr>
        <w:t>электронного</w:t>
      </w:r>
      <w:r w:rsidRPr="00F90CD2">
        <w:t xml:space="preserve"> аукциона на выполнение работ </w:t>
      </w:r>
      <w:r w:rsidRPr="00F90CD2">
        <w:rPr>
          <w:i/>
        </w:rPr>
        <w:t>(в произвольной форме)</w:t>
      </w:r>
      <w:r w:rsidRPr="00F90CD2">
        <w:t xml:space="preserve"> на условиях, предусмотренных документацией об электронном аукционе, в том числе согласие на использование товара, в отношении которого в Разделе 4. Технического задания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участника </w:t>
      </w:r>
      <w:r w:rsidRPr="00F90CD2">
        <w:rPr>
          <w:bCs/>
        </w:rPr>
        <w:t>электронного</w:t>
      </w:r>
      <w:r w:rsidRPr="00F90CD2">
        <w:t xml:space="preserve"> аукциона на выполнение работы </w:t>
      </w:r>
      <w:r w:rsidRPr="00F90CD2">
        <w:rPr>
          <w:i/>
        </w:rPr>
        <w:t>(в произвольной форме)</w:t>
      </w:r>
      <w:r w:rsidRPr="00F90CD2">
        <w:t xml:space="preserve"> на условиях, предусмотренных документацией об электронном аукционе,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электронного аукциона предлагает для использования товар, который является эквивалентным товару, указанному в Разделе 4. Технического задания документации, конкретные показатели товара, соответствующие значениям эквивалентности, установленным в Разделе 4. Технического задания документации,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2B7C1F" w:rsidRPr="00F90CD2" w:rsidRDefault="002B7C1F" w:rsidP="002B7C1F">
      <w:pPr>
        <w:autoSpaceDE w:val="0"/>
        <w:autoSpaceDN w:val="0"/>
        <w:adjustRightInd w:val="0"/>
        <w:ind w:firstLine="540"/>
        <w:jc w:val="both"/>
      </w:pPr>
      <w:r w:rsidRPr="00F90CD2">
        <w:t xml:space="preserve">б) согласие участника </w:t>
      </w:r>
      <w:r w:rsidRPr="00F90CD2">
        <w:rPr>
          <w:bCs/>
        </w:rPr>
        <w:t>электронного</w:t>
      </w:r>
      <w:r w:rsidRPr="00F90CD2">
        <w:t xml:space="preserve"> аукциона на выполнение работ </w:t>
      </w:r>
      <w:r w:rsidRPr="00F90CD2">
        <w:rPr>
          <w:i/>
        </w:rPr>
        <w:t xml:space="preserve">(в произвольной форме) </w:t>
      </w:r>
      <w:r w:rsidRPr="00F90CD2">
        <w:t>на условиях, предусмотренных документацией об электронном аукционе, а также конкретные показатели используемого товара, соответствующие значениям, установленным в Разделе 4. Технического задания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2B7C1F" w:rsidRDefault="002B7C1F" w:rsidP="002B7C1F">
      <w:pPr>
        <w:tabs>
          <w:tab w:val="left" w:pos="7845"/>
        </w:tabs>
        <w:jc w:val="center"/>
        <w:rPr>
          <w:rFonts w:eastAsia="Calibri"/>
          <w:b/>
          <w:bCs/>
        </w:rPr>
      </w:pPr>
    </w:p>
    <w:p w:rsidR="002B7C1F" w:rsidRDefault="002B7C1F" w:rsidP="002B7C1F">
      <w:pPr>
        <w:tabs>
          <w:tab w:val="left" w:pos="7845"/>
        </w:tabs>
        <w:jc w:val="center"/>
        <w:rPr>
          <w:rFonts w:eastAsia="Calibri"/>
          <w:b/>
          <w:bCs/>
        </w:rPr>
      </w:pPr>
      <w:r w:rsidRPr="006A5E0A">
        <w:rPr>
          <w:rFonts w:eastAsia="Calibri"/>
          <w:b/>
          <w:bCs/>
        </w:rPr>
        <w:t>Требования к техническим характеристикам материалов, оборудования, предполагаемых к использованию в процессе производства работ, используемые для определения соответствия потребностям заказчика или эквивалентности предлагаемого к использованию при выполнении работ материала</w:t>
      </w:r>
    </w:p>
    <w:p w:rsidR="002B7C1F" w:rsidRDefault="002B7C1F" w:rsidP="002B7C1F">
      <w:pPr>
        <w:tabs>
          <w:tab w:val="left" w:pos="7845"/>
        </w:tabs>
        <w:jc w:val="both"/>
        <w:rPr>
          <w:rFonts w:eastAsia="Calibri"/>
          <w:bCs/>
        </w:rPr>
      </w:pPr>
    </w:p>
    <w:p w:rsidR="002B7C1F" w:rsidRPr="006D7986" w:rsidRDefault="002B7C1F" w:rsidP="002B7C1F">
      <w:pPr>
        <w:widowControl w:val="0"/>
        <w:ind w:firstLine="709"/>
        <w:contextualSpacing/>
        <w:jc w:val="both"/>
        <w:rPr>
          <w:rFonts w:eastAsia="Calibri"/>
          <w:color w:val="000000"/>
          <w:lang w:eastAsia="en-US"/>
        </w:rPr>
      </w:pPr>
      <w:r w:rsidRPr="006D7986">
        <w:rPr>
          <w:color w:val="000000"/>
          <w:lang w:eastAsia="en-US"/>
        </w:rPr>
        <w:t>Л</w:t>
      </w:r>
      <w:r w:rsidRPr="006D7986">
        <w:t xml:space="preserve">исты гипсокартонные ГКЛВ толщиной 12,5 мм. </w:t>
      </w:r>
      <w:proofErr w:type="spellStart"/>
      <w:r w:rsidRPr="006D7986">
        <w:t>Водопоглощение</w:t>
      </w:r>
      <w:proofErr w:type="spellEnd"/>
      <w:r w:rsidRPr="006D7986">
        <w:t xml:space="preserve"> не более 10%. По форме продольные кромки листов должны быть типа: ПК, УК, ПЛК, ПЛУК, ЗК. Для листов группы А не допускаются повреждения углов и продольных кромок. Допустимое отклонение от прямоугольности не более 8 мм. По внешнему виду и точности изготовления листы должны быть группы: А, Б. Длина от 2000 до 4000 мм с шагом 50 мм. Ширина: 600, 1200 мм. Должны соответствовать ГОСТ 6266-97</w:t>
      </w:r>
    </w:p>
    <w:p w:rsidR="002B7C1F" w:rsidRDefault="002B7C1F" w:rsidP="002B7C1F">
      <w:pPr>
        <w:tabs>
          <w:tab w:val="left" w:pos="7845"/>
        </w:tabs>
        <w:jc w:val="both"/>
        <w:rPr>
          <w:rFonts w:eastAsia="Calibri"/>
          <w:bCs/>
        </w:rPr>
      </w:pPr>
    </w:p>
    <w:p w:rsidR="002B7C1F" w:rsidRPr="006D7986" w:rsidRDefault="002B7C1F" w:rsidP="002B7C1F">
      <w:pPr>
        <w:widowControl w:val="0"/>
        <w:ind w:firstLine="709"/>
        <w:contextualSpacing/>
        <w:jc w:val="both"/>
        <w:rPr>
          <w:rFonts w:eastAsia="Calibri"/>
          <w:color w:val="000000"/>
          <w:lang w:eastAsia="en-US"/>
        </w:rPr>
      </w:pPr>
      <w:r w:rsidRPr="006D7986">
        <w:t xml:space="preserve">Унитаз компакт с бачком. Требуется соответствие ГОСТ 30493-96. Унитаз должен быть с </w:t>
      </w:r>
      <w:proofErr w:type="spellStart"/>
      <w:r w:rsidRPr="006D7986">
        <w:t>цельноотлитой</w:t>
      </w:r>
      <w:proofErr w:type="spellEnd"/>
      <w:r w:rsidRPr="006D7986">
        <w:t xml:space="preserve"> полочкой. Унитаз должен быть с прямым или косым выпуском. Унитаз должен быть тарельчатый. Унитаз должен соответствовать изображенному на рисунке.</w:t>
      </w:r>
    </w:p>
    <w:p w:rsidR="002B7C1F" w:rsidRPr="006D7986" w:rsidRDefault="002B7C1F" w:rsidP="002B7C1F">
      <w:pPr>
        <w:tabs>
          <w:tab w:val="left" w:pos="1080"/>
        </w:tabs>
        <w:contextualSpacing/>
        <w:jc w:val="center"/>
      </w:pPr>
      <w:r>
        <w:rPr>
          <w:noProof/>
        </w:rPr>
        <w:drawing>
          <wp:inline distT="0" distB="0" distL="0" distR="0">
            <wp:extent cx="4945380" cy="2133600"/>
            <wp:effectExtent l="19050" t="0" r="7620" b="0"/>
            <wp:docPr id="1" name="Рисунок 1" descr="ГОСТ 30493-96 Изделия санитарные керамические. Типы и основные разме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ОСТ 30493-96 Изделия санитарные керамические. Типы и основные размеры"/>
                    <pic:cNvPicPr>
                      <a:picLocks noChangeAspect="1" noChangeArrowheads="1"/>
                    </pic:cNvPicPr>
                  </pic:nvPicPr>
                  <pic:blipFill>
                    <a:blip r:embed="rId4"/>
                    <a:srcRect/>
                    <a:stretch>
                      <a:fillRect/>
                    </a:stretch>
                  </pic:blipFill>
                  <pic:spPr bwMode="auto">
                    <a:xfrm>
                      <a:off x="0" y="0"/>
                      <a:ext cx="4945380" cy="2133600"/>
                    </a:xfrm>
                    <a:prstGeom prst="rect">
                      <a:avLst/>
                    </a:prstGeom>
                    <a:noFill/>
                    <a:ln w="9525">
                      <a:noFill/>
                      <a:miter lim="800000"/>
                      <a:headEnd/>
                      <a:tailEnd/>
                    </a:ln>
                  </pic:spPr>
                </pic:pic>
              </a:graphicData>
            </a:graphic>
          </wp:inline>
        </w:drawing>
      </w:r>
    </w:p>
    <w:p w:rsidR="002B7C1F" w:rsidRPr="006D7986" w:rsidRDefault="002B7C1F" w:rsidP="002B7C1F">
      <w:pPr>
        <w:tabs>
          <w:tab w:val="left" w:pos="1080"/>
        </w:tabs>
        <w:contextualSpacing/>
        <w:jc w:val="both"/>
      </w:pPr>
      <w:r w:rsidRPr="006D7986">
        <w:t>Размеры унитаза</w:t>
      </w:r>
    </w:p>
    <w:p w:rsidR="002B7C1F" w:rsidRPr="006D7986" w:rsidRDefault="002B7C1F" w:rsidP="002B7C1F">
      <w:pPr>
        <w:tabs>
          <w:tab w:val="left" w:pos="1080"/>
        </w:tabs>
        <w:contextualSpacing/>
        <w:jc w:val="both"/>
      </w:pPr>
      <w:r w:rsidRPr="006D7986">
        <w:tab/>
      </w:r>
      <w:r w:rsidRPr="006D7986">
        <w:tab/>
      </w:r>
      <w:r w:rsidRPr="006D7986">
        <w:tab/>
      </w:r>
      <w:r w:rsidRPr="006D7986">
        <w:tab/>
      </w:r>
      <w:r w:rsidRPr="006D7986">
        <w:tab/>
      </w:r>
      <w:r w:rsidRPr="006D7986">
        <w:tab/>
      </w:r>
      <w:r w:rsidRPr="006D7986">
        <w:tab/>
      </w:r>
      <w:r w:rsidRPr="006D7986">
        <w:tab/>
      </w:r>
      <w:r w:rsidRPr="006D7986">
        <w:tab/>
      </w:r>
      <w:r w:rsidRPr="006D7986">
        <w:tab/>
      </w:r>
      <w:r w:rsidRPr="006D7986">
        <w:tab/>
        <w:t>в миллиметрах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9"/>
        <w:gridCol w:w="1228"/>
        <w:gridCol w:w="1170"/>
        <w:gridCol w:w="1170"/>
        <w:gridCol w:w="1170"/>
        <w:gridCol w:w="1206"/>
        <w:gridCol w:w="1170"/>
        <w:gridCol w:w="1228"/>
      </w:tblGrid>
      <w:tr w:rsidR="002B7C1F" w:rsidRPr="006D7986" w:rsidTr="007B2EE1">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H</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h</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h</w:t>
            </w:r>
            <w:r w:rsidRPr="006D7986">
              <w:rPr>
                <w:b/>
                <w:sz w:val="20"/>
                <w:vertAlign w:val="subscript"/>
                <w:lang w:val="en-US"/>
              </w:rPr>
              <w:t>1</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l</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l</w:t>
            </w:r>
            <w:r w:rsidRPr="006D7986">
              <w:rPr>
                <w:b/>
                <w:sz w:val="20"/>
                <w:vertAlign w:val="subscript"/>
                <w:lang w:val="en-US"/>
              </w:rPr>
              <w:t>1</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L</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b</w:t>
            </w:r>
          </w:p>
        </w:tc>
        <w:tc>
          <w:tcPr>
            <w:tcW w:w="1287" w:type="dxa"/>
            <w:shd w:val="clear" w:color="auto" w:fill="auto"/>
          </w:tcPr>
          <w:p w:rsidR="002B7C1F" w:rsidRPr="006D7986" w:rsidRDefault="002B7C1F" w:rsidP="007B2EE1">
            <w:pPr>
              <w:tabs>
                <w:tab w:val="left" w:pos="1080"/>
              </w:tabs>
              <w:contextualSpacing/>
              <w:jc w:val="center"/>
              <w:rPr>
                <w:b/>
                <w:sz w:val="20"/>
                <w:lang w:val="en-US"/>
              </w:rPr>
            </w:pPr>
            <w:r w:rsidRPr="006D7986">
              <w:rPr>
                <w:b/>
                <w:sz w:val="20"/>
                <w:lang w:val="en-US"/>
              </w:rPr>
              <w:t>B</w:t>
            </w:r>
          </w:p>
        </w:tc>
      </w:tr>
      <w:tr w:rsidR="002B7C1F" w:rsidRPr="006D7986" w:rsidTr="007B2EE1">
        <w:tc>
          <w:tcPr>
            <w:tcW w:w="1287" w:type="dxa"/>
            <w:shd w:val="clear" w:color="auto" w:fill="auto"/>
          </w:tcPr>
          <w:p w:rsidR="002B7C1F" w:rsidRPr="006D7986" w:rsidRDefault="002B7C1F" w:rsidP="007B2EE1">
            <w:pPr>
              <w:tabs>
                <w:tab w:val="left" w:pos="1080"/>
              </w:tabs>
              <w:contextualSpacing/>
              <w:jc w:val="center"/>
              <w:rPr>
                <w:sz w:val="20"/>
                <w:lang w:val="en-US"/>
              </w:rPr>
            </w:pPr>
            <w:r w:rsidRPr="006D7986">
              <w:rPr>
                <w:sz w:val="20"/>
                <w:lang w:val="en-US"/>
              </w:rPr>
              <w:t>370</w:t>
            </w:r>
            <w:r w:rsidRPr="006D7986">
              <w:rPr>
                <w:sz w:val="20"/>
              </w:rPr>
              <w:t>/</w:t>
            </w:r>
            <w:r w:rsidRPr="006D7986">
              <w:rPr>
                <w:sz w:val="20"/>
                <w:lang w:val="en-US"/>
              </w:rPr>
              <w:t>400</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320/350</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150</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330</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435</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не менее 605</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260</w:t>
            </w:r>
          </w:p>
        </w:tc>
        <w:tc>
          <w:tcPr>
            <w:tcW w:w="1287" w:type="dxa"/>
            <w:shd w:val="clear" w:color="auto" w:fill="auto"/>
          </w:tcPr>
          <w:p w:rsidR="002B7C1F" w:rsidRPr="006D7986" w:rsidRDefault="002B7C1F" w:rsidP="007B2EE1">
            <w:pPr>
              <w:tabs>
                <w:tab w:val="left" w:pos="1080"/>
              </w:tabs>
              <w:contextualSpacing/>
              <w:jc w:val="center"/>
              <w:rPr>
                <w:sz w:val="20"/>
              </w:rPr>
            </w:pPr>
            <w:r w:rsidRPr="006D7986">
              <w:rPr>
                <w:sz w:val="20"/>
              </w:rPr>
              <w:t>340/360</w:t>
            </w:r>
          </w:p>
        </w:tc>
      </w:tr>
    </w:tbl>
    <w:p w:rsidR="002B7C1F" w:rsidRPr="006D7986" w:rsidRDefault="002B7C1F" w:rsidP="002B7C1F">
      <w:pPr>
        <w:tabs>
          <w:tab w:val="left" w:pos="1080"/>
        </w:tabs>
        <w:contextualSpacing/>
        <w:jc w:val="both"/>
      </w:pPr>
      <w:r w:rsidRPr="006D7986">
        <w:t xml:space="preserve">Смывные бачки должны соответствовать требованиям ГОСТ 21485-94. Бачки, непосредственно устанавливаемые на унитазах, должны иметь присоединительные размеры, обеспечивающие присоединение к полочкам по ГОСТ 30493-96. Полезный объем бачков должен составлять не менее 6,0 л. </w:t>
      </w:r>
    </w:p>
    <w:p w:rsidR="002B7C1F" w:rsidRDefault="002B7C1F" w:rsidP="002B7C1F">
      <w:pPr>
        <w:tabs>
          <w:tab w:val="left" w:pos="7845"/>
        </w:tabs>
        <w:jc w:val="both"/>
        <w:rPr>
          <w:rFonts w:eastAsia="Calibri"/>
          <w:bCs/>
        </w:rPr>
      </w:pPr>
    </w:p>
    <w:p w:rsidR="002B7C1F" w:rsidRPr="006D7986" w:rsidRDefault="002B7C1F" w:rsidP="002B7C1F">
      <w:pPr>
        <w:ind w:firstLine="708"/>
        <w:contextualSpacing/>
        <w:jc w:val="both"/>
        <w:rPr>
          <w:rFonts w:eastAsia="Calibri"/>
          <w:lang w:eastAsia="en-US"/>
        </w:rPr>
      </w:pPr>
      <w:r w:rsidRPr="006D7986">
        <w:rPr>
          <w:rFonts w:eastAsia="Calibri"/>
          <w:lang w:eastAsia="en-US"/>
        </w:rPr>
        <w:t xml:space="preserve">Трубы гибкие гофрированные из </w:t>
      </w:r>
      <w:proofErr w:type="spellStart"/>
      <w:r w:rsidRPr="006D7986">
        <w:rPr>
          <w:rFonts w:eastAsia="Calibri"/>
          <w:lang w:eastAsia="en-US"/>
        </w:rPr>
        <w:t>ПВХ-пластиката</w:t>
      </w:r>
      <w:proofErr w:type="spellEnd"/>
      <w:r w:rsidRPr="00691BFA">
        <w:t xml:space="preserve"> </w:t>
      </w:r>
      <w:r w:rsidRPr="00691BFA">
        <w:rPr>
          <w:rFonts w:eastAsia="Calibri"/>
          <w:lang w:eastAsia="en-US"/>
        </w:rPr>
        <w:t>диаметром: 25 мм</w:t>
      </w:r>
      <w:r w:rsidRPr="006D7986">
        <w:rPr>
          <w:rFonts w:eastAsia="Calibri"/>
          <w:lang w:eastAsia="en-US"/>
        </w:rPr>
        <w:t>. Гофрированная труба должна быть изготовлена из негорючей ПВХ (поливинилхлорид) композиции легкого типа. Гофрированная труба должна сохраняться длительное время в загрязненных, пыльных, влажных помещениях. Трубы должны отвечать следующим техническим характеристикам: IP не менее 55; прочность свыше 350Н на 5см при 20ºС; диэлектрическая прочность не менее 2000В (50 Гц, в течении 15 минут); сопротивление изоляции не менее 100 МОм (500В в течение 1 мин.); огнестойкость - не поддерживает горение.</w:t>
      </w:r>
    </w:p>
    <w:p w:rsidR="002B7C1F" w:rsidRDefault="002B7C1F" w:rsidP="002B7C1F">
      <w:pPr>
        <w:tabs>
          <w:tab w:val="left" w:pos="7845"/>
        </w:tabs>
        <w:jc w:val="both"/>
        <w:rPr>
          <w:rFonts w:eastAsia="Calibri"/>
          <w:bCs/>
        </w:rPr>
      </w:pPr>
    </w:p>
    <w:p w:rsidR="002B7C1F" w:rsidRPr="006D7986" w:rsidRDefault="002B7C1F" w:rsidP="002B7C1F">
      <w:pPr>
        <w:ind w:firstLine="708"/>
        <w:contextualSpacing/>
        <w:jc w:val="both"/>
        <w:rPr>
          <w:rFonts w:eastAsia="Calibri"/>
          <w:lang w:eastAsia="en-US"/>
        </w:rPr>
      </w:pPr>
      <w:r w:rsidRPr="006D7986">
        <w:rPr>
          <w:rFonts w:eastAsia="Calibri"/>
          <w:lang w:eastAsia="en-US"/>
        </w:rPr>
        <w:t xml:space="preserve">Трубы гибкие гофрированные из </w:t>
      </w:r>
      <w:proofErr w:type="spellStart"/>
      <w:r w:rsidRPr="006D7986">
        <w:rPr>
          <w:rFonts w:eastAsia="Calibri"/>
          <w:lang w:eastAsia="en-US"/>
        </w:rPr>
        <w:t>ПВХ-пластиката</w:t>
      </w:r>
      <w:proofErr w:type="spellEnd"/>
      <w:r w:rsidRPr="00691BFA">
        <w:t xml:space="preserve"> </w:t>
      </w:r>
      <w:r w:rsidRPr="00691BFA">
        <w:rPr>
          <w:rFonts w:eastAsia="Calibri"/>
          <w:lang w:eastAsia="en-US"/>
        </w:rPr>
        <w:t xml:space="preserve">диаметром: </w:t>
      </w:r>
      <w:r>
        <w:rPr>
          <w:rFonts w:eastAsia="Calibri"/>
          <w:lang w:eastAsia="en-US"/>
        </w:rPr>
        <w:t>32</w:t>
      </w:r>
      <w:r w:rsidRPr="00691BFA">
        <w:rPr>
          <w:rFonts w:eastAsia="Calibri"/>
          <w:lang w:eastAsia="en-US"/>
        </w:rPr>
        <w:t xml:space="preserve"> мм</w:t>
      </w:r>
      <w:r w:rsidRPr="006D7986">
        <w:rPr>
          <w:rFonts w:eastAsia="Calibri"/>
          <w:lang w:eastAsia="en-US"/>
        </w:rPr>
        <w:t>. Гофрированная труба должна быть изготовлена из негорючей ПВХ (поливинилхлорид) композиции легкого типа. Гофрированная труба должна сохраняться длительное время в загрязненных, пыльных, влажных помещениях. Трубы должны отвечать следующим техническим характеристикам: IP не менее 55; прочность свыше 350Н на 5см при 20ºС; диэлектрическая прочность не менее 2000В (50 Гц, в течении 15 минут); сопротивление изоляции не менее 100 МОм (500В в течение 1 мин.); огнестойкость - не поддерживает горение.</w:t>
      </w:r>
    </w:p>
    <w:p w:rsidR="002B7C1F" w:rsidRDefault="002B7C1F" w:rsidP="002B7C1F">
      <w:pPr>
        <w:tabs>
          <w:tab w:val="left" w:pos="7845"/>
        </w:tabs>
        <w:jc w:val="both"/>
        <w:rPr>
          <w:rFonts w:eastAsia="Calibri"/>
          <w:bCs/>
        </w:rPr>
      </w:pPr>
    </w:p>
    <w:p w:rsidR="002B7C1F" w:rsidRPr="006D7986" w:rsidRDefault="002B7C1F" w:rsidP="002B7C1F">
      <w:pPr>
        <w:ind w:firstLine="709"/>
        <w:jc w:val="both"/>
        <w:rPr>
          <w:rFonts w:eastAsia="Calibri"/>
          <w:lang w:eastAsia="en-US"/>
        </w:rPr>
      </w:pPr>
      <w:proofErr w:type="spellStart"/>
      <w:r w:rsidRPr="006D7986">
        <w:rPr>
          <w:rFonts w:eastAsia="Calibri"/>
          <w:lang w:eastAsia="en-US"/>
        </w:rPr>
        <w:t>Извещатель</w:t>
      </w:r>
      <w:proofErr w:type="spellEnd"/>
      <w:r w:rsidRPr="006D7986">
        <w:rPr>
          <w:rFonts w:eastAsia="Calibri"/>
          <w:lang w:eastAsia="en-US"/>
        </w:rPr>
        <w:t xml:space="preserve"> пожарный дымовой ДИП-34А. Чувствительность </w:t>
      </w:r>
      <w:proofErr w:type="spellStart"/>
      <w:r w:rsidRPr="006D7986">
        <w:rPr>
          <w:rFonts w:eastAsia="Calibri"/>
          <w:lang w:eastAsia="en-US"/>
        </w:rPr>
        <w:t>извещателя</w:t>
      </w:r>
      <w:proofErr w:type="spellEnd"/>
      <w:r w:rsidRPr="006D7986">
        <w:rPr>
          <w:rFonts w:eastAsia="Calibri"/>
          <w:lang w:eastAsia="en-US"/>
        </w:rPr>
        <w:t xml:space="preserve"> в диапазоне не уже от 0,05 до 0,2 дБ/м (включительно). Напряжение в линии связи от 8В до 10В (включительно). Максимальное значение чувствительности </w:t>
      </w:r>
      <w:proofErr w:type="spellStart"/>
      <w:r w:rsidRPr="006D7986">
        <w:rPr>
          <w:rFonts w:eastAsia="Calibri"/>
          <w:lang w:eastAsia="en-US"/>
        </w:rPr>
        <w:t>извещателя</w:t>
      </w:r>
      <w:proofErr w:type="spellEnd"/>
      <w:r w:rsidRPr="006D7986">
        <w:rPr>
          <w:rFonts w:eastAsia="Calibri"/>
          <w:lang w:eastAsia="en-US"/>
        </w:rPr>
        <w:t xml:space="preserve"> не должно превышать 0,5</w:t>
      </w:r>
      <w:r w:rsidRPr="006D7986">
        <w:rPr>
          <w:rFonts w:ascii="Calibri" w:eastAsia="Calibri" w:hAnsi="Calibri"/>
          <w:lang w:eastAsia="en-US"/>
        </w:rPr>
        <w:t xml:space="preserve"> </w:t>
      </w:r>
      <w:r w:rsidRPr="006D7986">
        <w:rPr>
          <w:rFonts w:eastAsia="Calibri"/>
          <w:lang w:eastAsia="en-US"/>
        </w:rPr>
        <w:t>дБ/м.</w:t>
      </w:r>
    </w:p>
    <w:p w:rsidR="002B7C1F" w:rsidRDefault="002B7C1F" w:rsidP="002B7C1F">
      <w:pPr>
        <w:ind w:firstLine="708"/>
        <w:jc w:val="both"/>
        <w:rPr>
          <w:rFonts w:eastAsia="Calibri"/>
          <w:lang w:eastAsia="en-US"/>
        </w:rPr>
      </w:pPr>
      <w:proofErr w:type="spellStart"/>
      <w:r w:rsidRPr="00326658">
        <w:rPr>
          <w:rFonts w:eastAsia="Calibri"/>
          <w:lang w:eastAsia="en-US"/>
        </w:rPr>
        <w:lastRenderedPageBreak/>
        <w:t>Оповещатель</w:t>
      </w:r>
      <w:proofErr w:type="spellEnd"/>
      <w:r w:rsidRPr="00326658">
        <w:rPr>
          <w:rFonts w:eastAsia="Calibri"/>
          <w:lang w:eastAsia="en-US"/>
        </w:rPr>
        <w:t xml:space="preserve"> световой МОЛНИЯ (ВЫХОД). </w:t>
      </w:r>
      <w:proofErr w:type="spellStart"/>
      <w:r w:rsidRPr="00326658">
        <w:rPr>
          <w:rFonts w:eastAsia="Calibri"/>
          <w:lang w:eastAsia="en-US"/>
        </w:rPr>
        <w:t>Оповещатель</w:t>
      </w:r>
      <w:proofErr w:type="spellEnd"/>
      <w:r w:rsidRPr="00326658">
        <w:rPr>
          <w:rFonts w:eastAsia="Calibri"/>
          <w:lang w:eastAsia="en-US"/>
        </w:rPr>
        <w:t xml:space="preserve"> световой повышенной яркости свечения светодиодов должен быть предназначен для обозначения эвакуационных путей в помещениях различного назначения. Включение </w:t>
      </w:r>
      <w:proofErr w:type="spellStart"/>
      <w:r w:rsidRPr="00326658">
        <w:rPr>
          <w:rFonts w:eastAsia="Calibri"/>
          <w:lang w:eastAsia="en-US"/>
        </w:rPr>
        <w:t>оповещателя</w:t>
      </w:r>
      <w:proofErr w:type="spellEnd"/>
      <w:r w:rsidRPr="00326658">
        <w:rPr>
          <w:rFonts w:eastAsia="Calibri"/>
          <w:lang w:eastAsia="en-US"/>
        </w:rPr>
        <w:t xml:space="preserve"> должно происходить после подачи питающего напряжения. Должен подключаться к источнику постоянного напряжения 12В. потребляемый ток от источника постоянного тока не должен быть &gt;23 мА. Степень защиты оболочки </w:t>
      </w:r>
      <w:r w:rsidRPr="00326658">
        <w:rPr>
          <w:rFonts w:eastAsia="Calibri"/>
          <w:lang w:val="en-US" w:eastAsia="en-US"/>
        </w:rPr>
        <w:t>IP</w:t>
      </w:r>
      <w:r w:rsidRPr="00326658">
        <w:rPr>
          <w:rFonts w:eastAsia="Calibri"/>
          <w:lang w:eastAsia="en-US"/>
        </w:rPr>
        <w:t xml:space="preserve"> более 30</w:t>
      </w:r>
      <w:r>
        <w:rPr>
          <w:rFonts w:eastAsia="Calibri"/>
          <w:lang w:eastAsia="en-US"/>
        </w:rPr>
        <w:t>.</w:t>
      </w:r>
    </w:p>
    <w:p w:rsidR="002B7C1F" w:rsidRDefault="002B7C1F" w:rsidP="002B7C1F">
      <w:pPr>
        <w:tabs>
          <w:tab w:val="left" w:pos="7845"/>
        </w:tabs>
        <w:jc w:val="both"/>
        <w:rPr>
          <w:rFonts w:eastAsia="Calibri"/>
          <w:bCs/>
        </w:rPr>
      </w:pPr>
    </w:p>
    <w:p w:rsidR="002B7C1F" w:rsidRDefault="002B7C1F" w:rsidP="002B7C1F">
      <w:pPr>
        <w:ind w:firstLine="708"/>
        <w:jc w:val="both"/>
        <w:rPr>
          <w:rFonts w:eastAsia="Calibri"/>
          <w:lang w:eastAsia="en-US"/>
        </w:rPr>
      </w:pPr>
      <w:proofErr w:type="spellStart"/>
      <w:r w:rsidRPr="002A443B">
        <w:rPr>
          <w:rFonts w:eastAsia="Calibri"/>
          <w:lang w:eastAsia="en-US"/>
        </w:rPr>
        <w:t>Оповещатель</w:t>
      </w:r>
      <w:proofErr w:type="spellEnd"/>
      <w:r w:rsidRPr="002A443B">
        <w:rPr>
          <w:rFonts w:eastAsia="Calibri"/>
          <w:lang w:eastAsia="en-US"/>
        </w:rPr>
        <w:t xml:space="preserve"> речевой Соната-3. Должен быть предназначен для воспроизведения голосовых сообщений, специальных сигналов в системах громкоговорящей связи с </w:t>
      </w:r>
      <w:proofErr w:type="spellStart"/>
      <w:r w:rsidRPr="002A443B">
        <w:rPr>
          <w:rFonts w:eastAsia="Calibri"/>
          <w:lang w:eastAsia="en-US"/>
        </w:rPr>
        <w:t>низкоомным</w:t>
      </w:r>
      <w:proofErr w:type="spellEnd"/>
      <w:r w:rsidRPr="002A443B">
        <w:rPr>
          <w:rFonts w:eastAsia="Calibri"/>
          <w:lang w:eastAsia="en-US"/>
        </w:rPr>
        <w:t xml:space="preserve"> выходом. Номинальная выходная звуковая мощность не менее 3 Вт. Максимальная выходная звуковая мощность 5 Вт. Уровень звукового давления (на расстоянии 1±0,5м), должен составлять не менее 96 дБ. Номинальное электрическое сопротивление 4/8 Ом. Частотный диапазон </w:t>
      </w:r>
      <w:proofErr w:type="spellStart"/>
      <w:r w:rsidRPr="002A443B">
        <w:rPr>
          <w:rFonts w:eastAsia="Calibri"/>
          <w:lang w:eastAsia="en-US"/>
        </w:rPr>
        <w:t>оповещателя</w:t>
      </w:r>
      <w:proofErr w:type="spellEnd"/>
      <w:r w:rsidRPr="002A443B">
        <w:rPr>
          <w:rFonts w:eastAsia="Calibri"/>
          <w:lang w:eastAsia="en-US"/>
        </w:rPr>
        <w:t>, Гц, не уже 100-15000 Степень пожарной безопасности изделия соотве</w:t>
      </w:r>
      <w:r>
        <w:rPr>
          <w:rFonts w:eastAsia="Calibri"/>
          <w:lang w:eastAsia="en-US"/>
        </w:rPr>
        <w:t>тствует ГОСТ Р МЭК 60065-2002.</w:t>
      </w:r>
    </w:p>
    <w:p w:rsidR="002B7C1F" w:rsidRDefault="002B7C1F" w:rsidP="002B7C1F">
      <w:pPr>
        <w:tabs>
          <w:tab w:val="left" w:pos="7845"/>
        </w:tabs>
        <w:jc w:val="both"/>
        <w:rPr>
          <w:rFonts w:eastAsia="Calibri"/>
          <w:bCs/>
        </w:rPr>
      </w:pPr>
    </w:p>
    <w:p w:rsidR="002B7C1F" w:rsidRPr="006D7986" w:rsidRDefault="002B7C1F" w:rsidP="002B7C1F">
      <w:pPr>
        <w:ind w:firstLine="709"/>
        <w:jc w:val="both"/>
        <w:rPr>
          <w:rFonts w:eastAsia="Calibri"/>
          <w:lang w:eastAsia="en-US"/>
        </w:rPr>
      </w:pPr>
      <w:r w:rsidRPr="006D7986">
        <w:rPr>
          <w:rFonts w:eastAsia="Calibri"/>
          <w:lang w:eastAsia="en-US"/>
        </w:rPr>
        <w:t xml:space="preserve">Контроллер двухпроводной линии связи «С2000-КДЛ». Напряжение питания должно быть в диапазоне от 10,2В до 28,4В (включительно). Потребляемая мощность не более 4 Вт. Потребляемый ток при напряжении 12В не более 200мА. Количество адресуемых зон до 127 (включительно). Передача тревожных извещений по интерфейсу </w:t>
      </w:r>
      <w:r w:rsidRPr="006D7986">
        <w:rPr>
          <w:rFonts w:eastAsia="Calibri"/>
          <w:lang w:val="en-US" w:eastAsia="en-US"/>
        </w:rPr>
        <w:t>RS</w:t>
      </w:r>
      <w:r w:rsidRPr="006D7986">
        <w:rPr>
          <w:rFonts w:eastAsia="Calibri"/>
          <w:lang w:eastAsia="en-US"/>
        </w:rPr>
        <w:t>-485.</w:t>
      </w:r>
    </w:p>
    <w:p w:rsidR="002B7C1F" w:rsidRDefault="002B7C1F" w:rsidP="002B7C1F">
      <w:pPr>
        <w:tabs>
          <w:tab w:val="left" w:pos="7845"/>
        </w:tabs>
        <w:jc w:val="both"/>
        <w:rPr>
          <w:rFonts w:eastAsia="Calibri"/>
          <w:bCs/>
        </w:rPr>
      </w:pPr>
    </w:p>
    <w:p w:rsidR="002B7C1F" w:rsidRDefault="002B7C1F" w:rsidP="002B7C1F">
      <w:pPr>
        <w:ind w:firstLine="709"/>
        <w:jc w:val="both"/>
        <w:rPr>
          <w:rFonts w:eastAsia="Calibri"/>
          <w:lang w:eastAsia="en-US"/>
        </w:rPr>
      </w:pPr>
      <w:r w:rsidRPr="006D7986">
        <w:rPr>
          <w:rFonts w:eastAsia="Calibri"/>
          <w:lang w:eastAsia="en-US"/>
        </w:rPr>
        <w:t xml:space="preserve">Пульт контроля и управления «С2000М». Напряжение питания должно быть в диапазоне от 10,2В до 28,4В (включительно). Число подключаемых адресных устройств до 127 (включительно). Количество разделов в системе до 511 (включительно). Количество групп разделов до 128 (включительно). Пульт позволяет управлять 256 выходами. </w:t>
      </w:r>
    </w:p>
    <w:p w:rsidR="002B7C1F" w:rsidRDefault="002B7C1F" w:rsidP="002B7C1F">
      <w:pPr>
        <w:ind w:firstLine="709"/>
        <w:jc w:val="both"/>
        <w:rPr>
          <w:rFonts w:eastAsia="Calibri"/>
          <w:lang w:eastAsia="en-US"/>
        </w:rPr>
      </w:pPr>
    </w:p>
    <w:p w:rsidR="002B7C1F" w:rsidRPr="00D81823" w:rsidRDefault="002B7C1F" w:rsidP="002B7C1F">
      <w:pPr>
        <w:ind w:firstLine="709"/>
        <w:jc w:val="both"/>
        <w:rPr>
          <w:rFonts w:eastAsia="Calibri"/>
          <w:lang w:eastAsia="en-US"/>
        </w:rPr>
      </w:pPr>
      <w:proofErr w:type="spellStart"/>
      <w:r w:rsidRPr="00D81823">
        <w:rPr>
          <w:rFonts w:eastAsia="Calibri"/>
          <w:bCs/>
        </w:rPr>
        <w:t>Извещатель</w:t>
      </w:r>
      <w:proofErr w:type="spellEnd"/>
      <w:r w:rsidRPr="00D81823">
        <w:rPr>
          <w:rFonts w:eastAsia="Calibri"/>
          <w:bCs/>
        </w:rPr>
        <w:t xml:space="preserve"> пожарный ручной ИПР-513-3А. Энергия включения не более 0,29 Дж. Неразрушающее усилие не более 25Н.</w:t>
      </w:r>
    </w:p>
    <w:p w:rsidR="002B7C1F" w:rsidRDefault="002B7C1F" w:rsidP="002B7C1F">
      <w:pPr>
        <w:tabs>
          <w:tab w:val="left" w:pos="7845"/>
        </w:tabs>
        <w:jc w:val="both"/>
        <w:rPr>
          <w:rFonts w:eastAsia="Calibri"/>
          <w:bCs/>
        </w:rPr>
      </w:pPr>
    </w:p>
    <w:p w:rsidR="002B7C1F" w:rsidRPr="006D7986" w:rsidRDefault="002B7C1F" w:rsidP="002B7C1F">
      <w:pPr>
        <w:ind w:firstLine="709"/>
        <w:jc w:val="both"/>
        <w:rPr>
          <w:rFonts w:eastAsia="Calibri"/>
          <w:lang w:eastAsia="en-US"/>
        </w:rPr>
      </w:pPr>
      <w:r w:rsidRPr="006D7986">
        <w:rPr>
          <w:rFonts w:eastAsia="Calibri"/>
          <w:lang w:eastAsia="en-US"/>
        </w:rPr>
        <w:t xml:space="preserve">Плитки керамические многоцветные неглазурованные, размером: </w:t>
      </w:r>
      <w:r>
        <w:rPr>
          <w:rFonts w:eastAsia="Calibri"/>
          <w:lang w:eastAsia="en-US"/>
        </w:rPr>
        <w:t>6</w:t>
      </w:r>
      <w:r w:rsidRPr="006D7986">
        <w:rPr>
          <w:rFonts w:eastAsia="Calibri"/>
          <w:lang w:eastAsia="en-US"/>
        </w:rPr>
        <w:t>00х600х</w:t>
      </w:r>
      <w:r>
        <w:rPr>
          <w:rFonts w:eastAsia="Calibri"/>
          <w:lang w:eastAsia="en-US"/>
        </w:rPr>
        <w:t>8</w:t>
      </w:r>
      <w:r w:rsidRPr="006D7986">
        <w:rPr>
          <w:rFonts w:eastAsia="Calibri"/>
          <w:lang w:eastAsia="en-US"/>
        </w:rPr>
        <w:t xml:space="preserve"> мм, 600х600х</w:t>
      </w:r>
      <w:r>
        <w:rPr>
          <w:rFonts w:eastAsia="Calibri"/>
          <w:lang w:eastAsia="en-US"/>
        </w:rPr>
        <w:t>9</w:t>
      </w:r>
      <w:r w:rsidRPr="006D7986">
        <w:rPr>
          <w:rFonts w:eastAsia="Calibri"/>
          <w:lang w:eastAsia="en-US"/>
        </w:rPr>
        <w:t xml:space="preserve"> мм. Предельное отклонение формы плиток от прямоугольной (</w:t>
      </w:r>
      <w:proofErr w:type="spellStart"/>
      <w:r w:rsidRPr="006D7986">
        <w:rPr>
          <w:rFonts w:eastAsia="Calibri"/>
          <w:lang w:eastAsia="en-US"/>
        </w:rPr>
        <w:t>косоугольность</w:t>
      </w:r>
      <w:proofErr w:type="spellEnd"/>
      <w:r w:rsidRPr="006D7986">
        <w:rPr>
          <w:rFonts w:eastAsia="Calibri"/>
          <w:lang w:eastAsia="en-US"/>
        </w:rPr>
        <w:t>), отклонение лицевой поверхности от плоскостности (кривизна лицевой поверхности) и искривление граней не должно быть более 1,5 мм (параметр неизменный). Соответствие ГОСТ 6787-2001.</w:t>
      </w:r>
    </w:p>
    <w:tbl>
      <w:tblPr>
        <w:tblW w:w="7672" w:type="dxa"/>
        <w:tblCellSpacing w:w="0" w:type="dxa"/>
        <w:tblInd w:w="701"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5958"/>
        <w:gridCol w:w="1714"/>
      </w:tblGrid>
      <w:tr w:rsidR="002B7C1F" w:rsidRPr="006D7986" w:rsidTr="007B2EE1">
        <w:trPr>
          <w:trHeight w:val="65"/>
          <w:tblCellSpacing w:w="0" w:type="dxa"/>
        </w:trPr>
        <w:tc>
          <w:tcPr>
            <w:tcW w:w="5958"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ind w:firstLine="568"/>
              <w:jc w:val="center"/>
              <w:rPr>
                <w:rFonts w:eastAsia="Calibri"/>
                <w:b/>
                <w:sz w:val="20"/>
                <w:lang w:eastAsia="en-US"/>
              </w:rPr>
            </w:pPr>
            <w:r w:rsidRPr="006D7986">
              <w:rPr>
                <w:rFonts w:eastAsia="Calibri"/>
                <w:b/>
                <w:sz w:val="20"/>
                <w:lang w:eastAsia="en-US"/>
              </w:rPr>
              <w:t>Характеристика</w:t>
            </w:r>
          </w:p>
        </w:tc>
        <w:tc>
          <w:tcPr>
            <w:tcW w:w="1714"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jc w:val="center"/>
              <w:rPr>
                <w:rFonts w:eastAsia="Calibri"/>
                <w:b/>
                <w:sz w:val="20"/>
                <w:lang w:eastAsia="en-US"/>
              </w:rPr>
            </w:pPr>
            <w:r w:rsidRPr="006D7986">
              <w:rPr>
                <w:rFonts w:eastAsia="Calibri"/>
                <w:b/>
                <w:sz w:val="20"/>
                <w:lang w:eastAsia="en-US"/>
              </w:rPr>
              <w:t>Значение</w:t>
            </w:r>
          </w:p>
        </w:tc>
      </w:tr>
      <w:tr w:rsidR="002B7C1F" w:rsidRPr="006D7986" w:rsidTr="007B2EE1">
        <w:trPr>
          <w:trHeight w:val="70"/>
          <w:tblCellSpacing w:w="0" w:type="dxa"/>
        </w:trPr>
        <w:tc>
          <w:tcPr>
            <w:tcW w:w="5958"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ind w:firstLine="146"/>
              <w:rPr>
                <w:rFonts w:eastAsia="Calibri"/>
                <w:sz w:val="20"/>
                <w:lang w:eastAsia="en-US"/>
              </w:rPr>
            </w:pPr>
            <w:proofErr w:type="spellStart"/>
            <w:r w:rsidRPr="006D7986">
              <w:rPr>
                <w:rFonts w:eastAsia="Calibri"/>
                <w:sz w:val="20"/>
                <w:lang w:eastAsia="en-US"/>
              </w:rPr>
              <w:t>Водопоглощение</w:t>
            </w:r>
            <w:proofErr w:type="spellEnd"/>
            <w:r w:rsidRPr="006D7986">
              <w:rPr>
                <w:rFonts w:eastAsia="Calibri"/>
                <w:sz w:val="20"/>
                <w:lang w:eastAsia="en-US"/>
              </w:rPr>
              <w:t>, % не более</w:t>
            </w:r>
          </w:p>
        </w:tc>
        <w:tc>
          <w:tcPr>
            <w:tcW w:w="1714"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jc w:val="center"/>
              <w:rPr>
                <w:rFonts w:eastAsia="Calibri"/>
                <w:sz w:val="20"/>
                <w:lang w:eastAsia="en-US"/>
              </w:rPr>
            </w:pPr>
            <w:r w:rsidRPr="006D7986">
              <w:rPr>
                <w:rFonts w:eastAsia="Calibri"/>
                <w:sz w:val="20"/>
                <w:lang w:eastAsia="en-US"/>
              </w:rPr>
              <w:t>3,5</w:t>
            </w:r>
          </w:p>
        </w:tc>
      </w:tr>
      <w:tr w:rsidR="002B7C1F" w:rsidRPr="006D7986" w:rsidTr="007B2EE1">
        <w:trPr>
          <w:trHeight w:val="145"/>
          <w:tblCellSpacing w:w="0" w:type="dxa"/>
        </w:trPr>
        <w:tc>
          <w:tcPr>
            <w:tcW w:w="5958"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ind w:firstLine="146"/>
              <w:rPr>
                <w:rFonts w:eastAsia="Calibri"/>
                <w:sz w:val="20"/>
                <w:lang w:eastAsia="en-US"/>
              </w:rPr>
            </w:pPr>
            <w:r w:rsidRPr="006D7986">
              <w:rPr>
                <w:rFonts w:eastAsia="Calibri"/>
                <w:sz w:val="20"/>
                <w:lang w:eastAsia="en-US"/>
              </w:rPr>
              <w:t>Предел прочности при изгибе, МПа, не менее</w:t>
            </w:r>
          </w:p>
        </w:tc>
        <w:tc>
          <w:tcPr>
            <w:tcW w:w="1714"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jc w:val="center"/>
              <w:rPr>
                <w:rFonts w:eastAsia="Calibri"/>
                <w:sz w:val="20"/>
                <w:lang w:eastAsia="en-US"/>
              </w:rPr>
            </w:pPr>
            <w:r w:rsidRPr="006D7986">
              <w:rPr>
                <w:rFonts w:eastAsia="Calibri"/>
                <w:sz w:val="20"/>
                <w:lang w:eastAsia="en-US"/>
              </w:rPr>
              <w:t>25,0</w:t>
            </w:r>
          </w:p>
        </w:tc>
      </w:tr>
      <w:tr w:rsidR="002B7C1F" w:rsidRPr="006D7986" w:rsidTr="007B2EE1">
        <w:trPr>
          <w:trHeight w:val="145"/>
          <w:tblCellSpacing w:w="0" w:type="dxa"/>
        </w:trPr>
        <w:tc>
          <w:tcPr>
            <w:tcW w:w="5958"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ind w:firstLine="146"/>
              <w:rPr>
                <w:rFonts w:eastAsia="Calibri"/>
                <w:sz w:val="20"/>
                <w:lang w:eastAsia="en-US"/>
              </w:rPr>
            </w:pPr>
            <w:r w:rsidRPr="006D7986">
              <w:rPr>
                <w:rFonts w:eastAsia="Calibri"/>
                <w:sz w:val="20"/>
                <w:lang w:eastAsia="en-US"/>
              </w:rPr>
              <w:lastRenderedPageBreak/>
              <w:t>Морозостойкость, число циклов, не менее</w:t>
            </w:r>
          </w:p>
        </w:tc>
        <w:tc>
          <w:tcPr>
            <w:tcW w:w="1714" w:type="dxa"/>
            <w:tcBorders>
              <w:top w:val="outset" w:sz="6" w:space="0" w:color="auto"/>
              <w:left w:val="outset" w:sz="6" w:space="0" w:color="auto"/>
              <w:bottom w:val="outset" w:sz="6" w:space="0" w:color="auto"/>
              <w:right w:val="outset" w:sz="6" w:space="0" w:color="auto"/>
            </w:tcBorders>
            <w:vAlign w:val="center"/>
          </w:tcPr>
          <w:p w:rsidR="002B7C1F" w:rsidRPr="006D7986" w:rsidRDefault="002B7C1F" w:rsidP="007B2EE1">
            <w:pPr>
              <w:jc w:val="center"/>
              <w:rPr>
                <w:rFonts w:eastAsia="Calibri"/>
                <w:sz w:val="20"/>
                <w:lang w:eastAsia="en-US"/>
              </w:rPr>
            </w:pPr>
            <w:r w:rsidRPr="006D7986">
              <w:rPr>
                <w:rFonts w:eastAsia="Calibri"/>
                <w:sz w:val="20"/>
                <w:lang w:eastAsia="en-US"/>
              </w:rPr>
              <w:t>25</w:t>
            </w:r>
          </w:p>
        </w:tc>
      </w:tr>
    </w:tbl>
    <w:p w:rsidR="002B7C1F" w:rsidRDefault="002B7C1F" w:rsidP="002B7C1F">
      <w:pPr>
        <w:tabs>
          <w:tab w:val="left" w:pos="7845"/>
        </w:tabs>
        <w:jc w:val="both"/>
        <w:rPr>
          <w:rFonts w:eastAsia="Calibri"/>
          <w:bCs/>
        </w:rPr>
      </w:pPr>
    </w:p>
    <w:p w:rsidR="002B7C1F" w:rsidRDefault="002B7C1F" w:rsidP="002B7C1F">
      <w:pPr>
        <w:tabs>
          <w:tab w:val="left" w:pos="7845"/>
        </w:tabs>
        <w:ind w:firstLine="709"/>
        <w:jc w:val="both"/>
        <w:rPr>
          <w:rFonts w:eastAsia="Calibri"/>
          <w:bCs/>
        </w:rPr>
      </w:pPr>
      <w:r w:rsidRPr="005F2F64">
        <w:rPr>
          <w:rFonts w:eastAsia="Calibri"/>
          <w:bCs/>
        </w:rPr>
        <w:t>Шнур с параллельными жилами, с поливинилхлоридной изоляцией, с поливинилхлоридной оболочкой, гибкий на напряжение до 380 В</w:t>
      </w:r>
      <w:r>
        <w:rPr>
          <w:rFonts w:eastAsia="Calibri"/>
          <w:bCs/>
        </w:rPr>
        <w:t xml:space="preserve"> (параметр неизменный)</w:t>
      </w:r>
      <w:r w:rsidRPr="005F2F64">
        <w:rPr>
          <w:rFonts w:eastAsia="Calibri"/>
          <w:bCs/>
        </w:rPr>
        <w:t xml:space="preserve"> для систем 380/380 В</w:t>
      </w:r>
      <w:r>
        <w:rPr>
          <w:rFonts w:eastAsia="Calibri"/>
          <w:bCs/>
        </w:rPr>
        <w:t xml:space="preserve"> (параметр неизменный). Число жил должно быть 2. Сечение жил должно быть 0,75мм</w:t>
      </w:r>
      <w:r w:rsidRPr="005F2F64">
        <w:rPr>
          <w:rFonts w:eastAsia="Calibri"/>
          <w:bCs/>
          <w:vertAlign w:val="superscript"/>
        </w:rPr>
        <w:t>2</w:t>
      </w:r>
      <w:r>
        <w:rPr>
          <w:rFonts w:eastAsia="Calibri"/>
          <w:bCs/>
        </w:rPr>
        <w:t>.</w:t>
      </w:r>
      <w:r w:rsidRPr="005F2F64">
        <w:t xml:space="preserve"> </w:t>
      </w:r>
      <w:r w:rsidRPr="005F2F64">
        <w:rPr>
          <w:rFonts w:eastAsia="Calibri"/>
          <w:bCs/>
        </w:rPr>
        <w:t>Класс жилы по ГОСТ 22483</w:t>
      </w:r>
      <w:r>
        <w:rPr>
          <w:rFonts w:eastAsia="Calibri"/>
          <w:bCs/>
        </w:rPr>
        <w:t>-2012</w:t>
      </w:r>
      <w:r w:rsidRPr="005F2F64">
        <w:rPr>
          <w:rFonts w:eastAsia="Calibri"/>
          <w:bCs/>
        </w:rPr>
        <w:t>, не ниже</w:t>
      </w:r>
      <w:r>
        <w:rPr>
          <w:rFonts w:eastAsia="Calibri"/>
          <w:bCs/>
        </w:rPr>
        <w:t xml:space="preserve"> 5. Номинальная толщина изоляции должна быть 0,5 </w:t>
      </w:r>
      <w:r w:rsidRPr="005F2F64">
        <w:rPr>
          <w:rFonts w:eastAsia="Calibri"/>
          <w:bCs/>
        </w:rPr>
        <w:t>мм</w:t>
      </w:r>
      <w:r>
        <w:rPr>
          <w:rFonts w:eastAsia="Calibri"/>
          <w:bCs/>
        </w:rPr>
        <w:t>. Номинальная толщина оболочки 0,6мм. Шнур должен</w:t>
      </w:r>
      <w:r w:rsidRPr="005F2F64">
        <w:rPr>
          <w:rFonts w:eastAsia="Calibri"/>
          <w:bCs/>
        </w:rPr>
        <w:t xml:space="preserve"> соответствовать требованиям ГОСТ 7399-97 и </w:t>
      </w:r>
      <w:r>
        <w:rPr>
          <w:rFonts w:eastAsia="Calibri"/>
          <w:bCs/>
        </w:rPr>
        <w:t>быть</w:t>
      </w:r>
      <w:r w:rsidRPr="005F2F64">
        <w:rPr>
          <w:rFonts w:eastAsia="Calibri"/>
          <w:bCs/>
        </w:rPr>
        <w:t xml:space="preserve"> в климатических исполнениях по ГОСТ 15150-69</w:t>
      </w:r>
      <w:r>
        <w:rPr>
          <w:rFonts w:eastAsia="Calibri"/>
          <w:bCs/>
        </w:rPr>
        <w:t>: УХЛ или У. Категория размещения шнура должна быть 3 или 4.</w:t>
      </w:r>
    </w:p>
    <w:p w:rsidR="002B7C1F" w:rsidRDefault="002B7C1F" w:rsidP="002B7C1F">
      <w:pPr>
        <w:tabs>
          <w:tab w:val="left" w:pos="7845"/>
        </w:tabs>
        <w:ind w:firstLine="709"/>
        <w:jc w:val="both"/>
        <w:rPr>
          <w:rFonts w:eastAsia="Calibri"/>
          <w:bCs/>
        </w:rPr>
      </w:pPr>
    </w:p>
    <w:p w:rsidR="002B7C1F" w:rsidRDefault="002B7C1F" w:rsidP="002B7C1F">
      <w:pPr>
        <w:tabs>
          <w:tab w:val="left" w:pos="7845"/>
        </w:tabs>
        <w:ind w:firstLine="709"/>
        <w:jc w:val="both"/>
        <w:rPr>
          <w:rFonts w:eastAsia="Calibri"/>
          <w:bCs/>
        </w:rPr>
      </w:pPr>
      <w:r>
        <w:rPr>
          <w:rFonts w:eastAsia="Calibri"/>
          <w:bCs/>
        </w:rPr>
        <w:t>Провод с медной жилой с поливинилхлоридной изоляцией ПВ1. Номинальное сечение токопроводящей жилы 6мм</w:t>
      </w:r>
      <w:r w:rsidRPr="009E63D6">
        <w:rPr>
          <w:rFonts w:eastAsia="Calibri"/>
          <w:bCs/>
          <w:vertAlign w:val="superscript"/>
        </w:rPr>
        <w:t>2</w:t>
      </w:r>
      <w:r>
        <w:rPr>
          <w:rFonts w:eastAsia="Calibri"/>
          <w:bCs/>
        </w:rPr>
        <w:t>.</w:t>
      </w:r>
      <w:r w:rsidRPr="009E63D6">
        <w:t xml:space="preserve"> </w:t>
      </w:r>
      <w:r w:rsidRPr="009E63D6">
        <w:rPr>
          <w:rFonts w:eastAsia="Calibri"/>
          <w:bCs/>
        </w:rPr>
        <w:t xml:space="preserve">Провода </w:t>
      </w:r>
      <w:r>
        <w:rPr>
          <w:rFonts w:eastAsia="Calibri"/>
          <w:bCs/>
        </w:rPr>
        <w:t>должны быть</w:t>
      </w:r>
      <w:r w:rsidRPr="009E63D6">
        <w:rPr>
          <w:rFonts w:eastAsia="Calibri"/>
          <w:bCs/>
        </w:rPr>
        <w:t xml:space="preserve"> в климатическом исполнении ОМ и</w:t>
      </w:r>
      <w:r>
        <w:rPr>
          <w:rFonts w:eastAsia="Calibri"/>
          <w:bCs/>
        </w:rPr>
        <w:t>ли</w:t>
      </w:r>
      <w:r w:rsidRPr="009E63D6">
        <w:rPr>
          <w:rFonts w:eastAsia="Calibri"/>
          <w:bCs/>
        </w:rPr>
        <w:t xml:space="preserve"> ХЛ, категория размещения 2 по ГОСТ 15150</w:t>
      </w:r>
      <w:r>
        <w:rPr>
          <w:rFonts w:eastAsia="Calibri"/>
          <w:bCs/>
        </w:rPr>
        <w:t xml:space="preserve">-69. </w:t>
      </w:r>
      <w:r w:rsidRPr="009E63D6">
        <w:rPr>
          <w:rFonts w:eastAsia="Calibri"/>
          <w:bCs/>
        </w:rPr>
        <w:t>Токопроводящие жилы должны соответствовать требованиям ГОСТ 22483</w:t>
      </w:r>
      <w:r>
        <w:rPr>
          <w:rFonts w:eastAsia="Calibri"/>
          <w:bCs/>
        </w:rPr>
        <w:t xml:space="preserve">-2012. Класс токопроводящей жилы должен быть 1. Провода должны быть изолированы в один или два слоя. Требуется соответствие </w:t>
      </w:r>
      <w:r w:rsidRPr="009E63D6">
        <w:rPr>
          <w:rFonts w:eastAsia="Calibri"/>
          <w:bCs/>
        </w:rPr>
        <w:t>ГОСТ 6323-79</w:t>
      </w:r>
      <w:r>
        <w:rPr>
          <w:rFonts w:eastAsia="Calibri"/>
          <w:bCs/>
        </w:rPr>
        <w:t xml:space="preserve">. </w:t>
      </w:r>
    </w:p>
    <w:p w:rsidR="00B77BB0" w:rsidRDefault="00B77BB0"/>
    <w:sectPr w:rsidR="00B77B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2B7C1F"/>
    <w:rsid w:val="002B7C1F"/>
    <w:rsid w:val="00B77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2B7C1F"/>
    <w:pPr>
      <w:spacing w:after="120" w:line="240" w:lineRule="auto"/>
      <w:ind w:left="283"/>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uiPriority w:val="99"/>
    <w:semiHidden/>
    <w:rsid w:val="002B7C1F"/>
  </w:style>
  <w:style w:type="character" w:customStyle="1" w:styleId="1">
    <w:name w:val="Основной текст с отступом Знак1"/>
    <w:aliases w:val="Основной текст с отступом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
    <w:link w:val="a3"/>
    <w:locked/>
    <w:rsid w:val="002B7C1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1275</Words>
  <Characters>7273</Characters>
  <Application>Microsoft Office Word</Application>
  <DocSecurity>0</DocSecurity>
  <Lines>60</Lines>
  <Paragraphs>17</Paragraphs>
  <ScaleCrop>false</ScaleCrop>
  <Company>Microsoft</Company>
  <LinksUpToDate>false</LinksUpToDate>
  <CharactersWithSpaces>8531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2016-11-23T10:23:00Z</dcterms:created>
  <dcterms:modified xsi:type="dcterms:W3CDTF">2016-11-23T10:24:00Z</dcterms:modified>
</cp:coreProperties>
</file>