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DF3" w:rsidRDefault="00F62D13">
      <w:pPr>
        <w:jc w:val="center"/>
      </w:pPr>
      <w:bookmarkStart w:id="0" w:name="_GoBack"/>
      <w:bookmarkEnd w:id="0"/>
      <w:r>
        <w:t>РЕШЕНИЕ</w:t>
      </w:r>
    </w:p>
    <w:p w:rsidR="00AC6DF3" w:rsidRDefault="00F62D13">
      <w:pPr>
        <w:jc w:val="center"/>
      </w:pPr>
      <w:r>
        <w:t xml:space="preserve">по делу № П-169/15 о результатах внеплановой проверки </w:t>
      </w:r>
    </w:p>
    <w:p w:rsidR="00AC6DF3" w:rsidRDefault="00F62D13">
      <w:pPr>
        <w:ind w:right="124"/>
        <w:jc w:val="center"/>
      </w:pPr>
      <w:r>
        <w:t xml:space="preserve">соблюдения законодательства Российской Федерации </w:t>
      </w:r>
    </w:p>
    <w:p w:rsidR="00AC6DF3" w:rsidRDefault="00F62D13">
      <w:pPr>
        <w:ind w:right="124"/>
        <w:jc w:val="center"/>
      </w:pPr>
      <w:r>
        <w:t>о контрактной системе в сфере закупок</w:t>
      </w:r>
    </w:p>
    <w:p w:rsidR="00AC6DF3" w:rsidRDefault="00AC6DF3">
      <w:pPr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AC6DF3" w:rsidTr="000F464E">
        <w:tc>
          <w:tcPr>
            <w:tcW w:w="48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AC6DF3" w:rsidRDefault="00F62D13" w:rsidP="00E84E5E">
            <w:pPr>
              <w:ind w:firstLine="0"/>
            </w:pPr>
            <w:r>
              <w:t>11.03.2015</w:t>
            </w:r>
          </w:p>
        </w:tc>
        <w:tc>
          <w:tcPr>
            <w:tcW w:w="50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AC6DF3" w:rsidRDefault="00F62D13">
            <w:pPr>
              <w:jc w:val="right"/>
            </w:pPr>
            <w:r>
              <w:t>Москва</w:t>
            </w:r>
          </w:p>
        </w:tc>
      </w:tr>
    </w:tbl>
    <w:p w:rsidR="00AC6DF3" w:rsidRDefault="00AC6DF3">
      <w:pPr>
        <w:jc w:val="center"/>
      </w:pPr>
    </w:p>
    <w:p w:rsidR="00AC6DF3" w:rsidRDefault="00F62D13" w:rsidP="00E7694B">
      <w:pPr>
        <w:spacing w:line="380" w:lineRule="exact"/>
        <w:jc w:val="both"/>
      </w:pPr>
      <w:r>
        <w:t>На основании статьи 99 Федерального закона от 05.04.2013 № 44-ФЗ</w:t>
      </w:r>
      <w:r w:rsidR="00E84E5E">
        <w:br/>
      </w:r>
      <w: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в соответствии с приказом ФАС России от 11.08.2014 № 502/14</w:t>
      </w:r>
      <w:r w:rsidR="00E84E5E">
        <w:br/>
      </w:r>
      <w:r>
        <w:t>«О создании комиссии по контролю в сфере закупок» Комиссия ФАС России по контролю в сфере закупок (далее – Комиссия,</w:t>
      </w:r>
    </w:p>
    <w:p w:rsidR="00AC6DF3" w:rsidRDefault="00F62D13" w:rsidP="000F464E">
      <w:pPr>
        <w:spacing w:line="380" w:lineRule="exact"/>
        <w:jc w:val="both"/>
      </w:pPr>
      <w:r>
        <w:t xml:space="preserve">рассмотрев обращение ООО ПКФ «Р.Р.С.» (далее – Заявитель), содержащее информацию о признаках нарушения законодательства Российской Федерации о контрактной системе в сфере закупок в действиях ОАО «Единая электронная торговая площадка» (далее </w:t>
      </w:r>
      <w:r w:rsidR="00E84E5E">
        <w:t>–</w:t>
      </w:r>
      <w:r>
        <w:t xml:space="preserve"> Оператор электронной площадки),</w:t>
      </w:r>
      <w:r w:rsidR="00E84E5E">
        <w:br/>
      </w:r>
      <w:r>
        <w:t>и в результате осуществления внеплановой проверки в части действий Оператора электронной площадки в соответствии с пунктом 2 части 15 статьи 99 Закона о контрактной системе, приказом ФАС России от 11.08.2014 № 502/14,</w:t>
      </w:r>
    </w:p>
    <w:p w:rsidR="00AC6DF3" w:rsidRDefault="00F62D13" w:rsidP="000F464E">
      <w:pPr>
        <w:spacing w:before="120" w:after="120" w:line="380" w:lineRule="exact"/>
        <w:jc w:val="center"/>
      </w:pPr>
      <w:r>
        <w:t>УСТАНОВИЛА:</w:t>
      </w:r>
    </w:p>
    <w:p w:rsidR="00ED2E84" w:rsidRDefault="00F62D13" w:rsidP="00ED2E84">
      <w:pPr>
        <w:spacing w:line="380" w:lineRule="exact"/>
        <w:ind w:firstLine="851"/>
        <w:jc w:val="both"/>
      </w:pPr>
      <w:r>
        <w:t>В Федеральную антимонопольную службу поступило обращение Заявителя, содержащее информацию о признаках нарушения законодательства Российской Федерации о контрактной системе в сфере закупок в действиях Оператора электронной площадки.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По мнению Заявителя, его права и законные интересы нарушены действиями Оператора электронной площадки, который неправомерно взимает плату за предоставление в электронном виде документов, подтверждающих списание денежных средств с лицевых счетов участников электронных аукционов за участие в закупках.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Представитель Оператора электронной площадки не согласился с доводом Заявителя и сообщил, что Оператор электронной площадки действовал в соответствии с законодательством Российской Федерации о контрактной системе в сфере закупок.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lastRenderedPageBreak/>
        <w:t>В результате осуществления в соответствии с пунктом 2 части 15 статьи 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С 01.07.2013 на сайте Оператора электронной площадки функционирует автоматизированная система электронного документооборота (далее - Росинвойс). В соответствии с Регламентом работы в Автоматизированной системе электронного документооборота ОАО «ЕЭТП» (Регламент применения электронной подписи в Автоматизированной системе электронного документооборота ОАО «ЕЭТП») от 01.07.2013 (далее - Регламент) Абонентами Росинвойс являются участники информационного взаимодействия: государственные органы, органы местного самоуправления, юридические и физические лица, в том числе индивидуальные предприниматели и приравненные к ним другие категории хозяйствующих субъектов, присоединившиеся к Регламенту путем направления Оператору электронной площадки заявления (Приложение № 1 к Регламенту).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В период с 01.07.2013 по 30.09.2014 право пользования Росинвойс предоставлялось Абонентам Росинвойс бесплатно.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Вместе с тем, Оператором электронной площадки принято решение о взимании с 01.10.2014 с Абонентов Росинвойс платы за право пользования Росинвойс в размере 4 750 рублей в год.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В связи с чем, 19.09.2014, 26.09.2014 Абонентам Росинвойс, в том числе Заявителю, в личный кабинет на сайте Оператора электронной площадки направлены соответствующие уведомления.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Согласно вышеуказанным уведомлениям, плата за право пользования Росинвойс подлежит списанию с лицевого счета Абонентов Росинвойс, которые подключились к Росинвойс путем присоединения к Регламенту по состоянию на 00:00 01.10.2014 по времени Оператора электронной площадки с 01.10.2014, в дальнейшем ежегодно; с лицевых счетов Абонентов Росинвойс, которые подключились к Росинвойс путем присоединения к Регламенту позднее 00:00 01.10.2014 по времени Оператора электронной площадки, с момента фактического присоединения к Регламенту; с лицевого счета участников закупок, которые не присоединились к Регламенту, но которым выставляются документы за списание денежных средств за участие в закупках, датированные 01.10.2014 или более поздней датой, с фактического выставления первого комплекта документов.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lastRenderedPageBreak/>
        <w:t>На заседании Комиссии установлено, что Заявитель получил и ознакомился с вышеуказанными уведомлениями.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В соответствии с пунктом 3.8 Регламента списание платы за право пользования Росинвойс не будет произведено с лицевых счетов Абонентов Росинвойс, которые подключились к Росинвойс путем присоединения к Регламенту по состоянию на 00:00 01.10.2014, если указанные Абоненты Росинвойс оформят письменный отказ от оплаты лицензионного вознаграждения средствами лицевого счета, подписанный уполномоченным лицом и заверенный печатью, и представят его Оператору электронной площадки до 12:00 30.09.2014 по времени Оператора электронной площадки по адресу: 117312, г. Москва, проспект 60-я Октября, д. 9.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Вместе с тем, в соответствии с пунктом 3.11 Регламента, Абонент Росинвойс вправе предоставить извещение об отзыве заявления о присоединении к Регламенту (форма извещения – Приложение № 2 к Регламенту) (далее - Извещение об отзыве) не позднее, чем за тридцать календарных дней до даты расторжения, указанной в Извещении об отзыве. Указанное Извещение об отзыве направляется Оператору электронной площадки по адресу: 117312, г. Москва, проспект 60-я Октября, д. 9.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На заседании Комиссии представитель Оператора электронной площадки пояснил, что в случае направления участником закупок Извещения об отзыве в адрес Оператора электронной площадки, такой участник закупок вправе получать документы за списание денежных средств за участие в закупках в письменном виде, и в случае отказа участника закупок от получения документов посредством электронного документооборота, плата за получение документов в письменном виде с участника закупки не взимается. При этом, представитель Оператора электронной площадки сообщил, что Оператор электронной площадки не получил в срок до 30.09.2014 от Заявителя письменный отказ от оплаты лицензионного вознаграждения средствами лицевого счета, подписанный уполномоченным лицом и заверенный печатью, и Извещение об отзыве, направленное в соответствии с пунктом 3.11 Регламента.</w:t>
      </w:r>
    </w:p>
    <w:p w:rsid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t>Вместе с тем, Заявителем не представлены документы и сведения, подтверждающие, что Заявитель в срок до 30.09.2014 направил в адрес Оператора электронной площадки Извещение об отзыве, представленное в соответствии с пунктом 3.11 Регламента.</w:t>
      </w:r>
    </w:p>
    <w:p w:rsidR="00ED2E84" w:rsidRPr="00ED2E84" w:rsidRDefault="00ED2E84" w:rsidP="00ED2E84">
      <w:pPr>
        <w:spacing w:line="380" w:lineRule="exact"/>
        <w:ind w:firstLine="851"/>
        <w:jc w:val="both"/>
        <w:rPr>
          <w:szCs w:val="28"/>
        </w:rPr>
      </w:pPr>
      <w:r w:rsidRPr="00ED2E84">
        <w:rPr>
          <w:szCs w:val="28"/>
        </w:rPr>
        <w:lastRenderedPageBreak/>
        <w:t>Таким образом, довод Заявителя о том, что Оператор электронной площадки неправомерно взимает плату за предоставление в электронном виде документов за списание денежных средств за участие в закупках и навязывает предоставление услуг по использованию электронного документооборота, не нашел своего подтверждения.</w:t>
      </w:r>
    </w:p>
    <w:p w:rsidR="000F464E" w:rsidRDefault="00F62D13" w:rsidP="000F464E">
      <w:pPr>
        <w:spacing w:line="380" w:lineRule="exact"/>
        <w:ind w:firstLine="851"/>
        <w:jc w:val="both"/>
      </w:pPr>
      <w:r>
        <w:t xml:space="preserve">На основании изложенного, руководствуясь частью 1 статьи 2, пунктом 2 части 15 статьи 99 Закона о контрактной системе, приказом ФАС России от 11.08.2014 № 502/14, Комиссия </w:t>
      </w:r>
    </w:p>
    <w:p w:rsidR="00E7694B" w:rsidRDefault="00E7694B" w:rsidP="000F464E">
      <w:pPr>
        <w:spacing w:line="380" w:lineRule="exact"/>
        <w:ind w:firstLine="851"/>
        <w:jc w:val="both"/>
      </w:pPr>
    </w:p>
    <w:p w:rsidR="00AC6DF3" w:rsidRDefault="00F62D13" w:rsidP="000F464E">
      <w:pPr>
        <w:spacing w:line="380" w:lineRule="exact"/>
        <w:jc w:val="center"/>
      </w:pPr>
      <w:r>
        <w:t>РЕШИЛА:</w:t>
      </w:r>
    </w:p>
    <w:p w:rsidR="00AC6DF3" w:rsidRDefault="00AC6DF3" w:rsidP="000F464E">
      <w:pPr>
        <w:spacing w:line="380" w:lineRule="exact"/>
        <w:jc w:val="center"/>
      </w:pPr>
    </w:p>
    <w:p w:rsidR="00AC6DF3" w:rsidRDefault="00F62D13" w:rsidP="000F464E">
      <w:pPr>
        <w:spacing w:line="380" w:lineRule="exact"/>
        <w:ind w:firstLine="696"/>
        <w:jc w:val="both"/>
      </w:pPr>
      <w:r>
        <w:t>Признать действия Оператора электронной площадки соответствующими Закону о контрактной системе.</w:t>
      </w:r>
    </w:p>
    <w:p w:rsidR="00AC6DF3" w:rsidRDefault="00AC6DF3" w:rsidP="000F464E">
      <w:pPr>
        <w:spacing w:line="380" w:lineRule="exact"/>
        <w:jc w:val="both"/>
      </w:pPr>
    </w:p>
    <w:p w:rsidR="00AC6DF3" w:rsidRPr="00E81C2E" w:rsidRDefault="00F62D13" w:rsidP="00E7694B">
      <w:pPr>
        <w:spacing w:line="380" w:lineRule="exact"/>
        <w:ind w:firstLine="696"/>
        <w:jc w:val="both"/>
      </w:pPr>
      <w:r>
        <w:t>Настоящее решение может быть обжаловано в суде, арбитражном суде в течение трех месяцев в установленном законом порядке.</w:t>
      </w:r>
      <w:r w:rsidR="00E7694B" w:rsidRPr="00E81C2E">
        <w:t xml:space="preserve"> </w:t>
      </w:r>
    </w:p>
    <w:sectPr w:rsidR="00AC6DF3" w:rsidRPr="00E81C2E">
      <w:headerReference w:type="default" r:id="rId7"/>
      <w:footerReference w:type="default" r:id="rId8"/>
      <w:headerReference w:type="first" r:id="rId9"/>
      <w:pgSz w:w="12240" w:h="15840"/>
      <w:pgMar w:top="1134" w:right="850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CB0" w:rsidRDefault="00E22CB0">
      <w:r>
        <w:separator/>
      </w:r>
    </w:p>
  </w:endnote>
  <w:endnote w:type="continuationSeparator" w:id="0">
    <w:p w:rsidR="00E22CB0" w:rsidRDefault="00E2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DF3" w:rsidRDefault="00AC6DF3">
    <w:pPr>
      <w:pStyle w:val="a4"/>
      <w:tabs>
        <w:tab w:val="center" w:pos="4677"/>
        <w:tab w:val="right" w:pos="9355"/>
      </w:tabs>
      <w:spacing w:after="192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CB0" w:rsidRDefault="00E22CB0">
      <w:r>
        <w:separator/>
      </w:r>
    </w:p>
  </w:footnote>
  <w:footnote w:type="continuationSeparator" w:id="0">
    <w:p w:rsidR="00E22CB0" w:rsidRDefault="00E22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DF3" w:rsidRDefault="00F62D13">
    <w:pPr>
      <w:pStyle w:val="a3"/>
      <w:tabs>
        <w:tab w:val="center" w:pos="4677"/>
        <w:tab w:val="right" w:pos="9355"/>
      </w:tabs>
      <w:spacing w:after="192"/>
      <w:jc w:val="center"/>
      <w:rPr>
        <w:sz w:val="22"/>
      </w:rPr>
    </w:pPr>
    <w:r>
      <w:rPr>
        <w:rFonts w:ascii="Calibri" w:hAnsi="Calibri"/>
        <w:sz w:val="22"/>
      </w:rPr>
      <w:fldChar w:fldCharType="begin"/>
    </w:r>
    <w:r>
      <w:rPr>
        <w:rFonts w:ascii="Calibri" w:hAnsi="Calibri"/>
        <w:sz w:val="22"/>
      </w:rPr>
      <w:instrText xml:space="preserve"> PAGE   \* MERGEFORMAT </w:instrText>
    </w:r>
    <w:r>
      <w:rPr>
        <w:rFonts w:ascii="Calibri" w:hAnsi="Calibri"/>
        <w:sz w:val="22"/>
      </w:rPr>
      <w:fldChar w:fldCharType="separate"/>
    </w:r>
    <w:r w:rsidR="00E81C2E">
      <w:rPr>
        <w:rFonts w:ascii="Calibri" w:hAnsi="Calibri"/>
        <w:noProof/>
        <w:sz w:val="22"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DF3" w:rsidRDefault="00AC6D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F086"/>
    <w:multiLevelType w:val="hybridMultilevel"/>
    <w:tmpl w:val="0E2CF2F8"/>
    <w:lvl w:ilvl="0" w:tplc="D304D78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BA0EC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4B8C82C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D77E9794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79624B40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2BC646E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2800EDB8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3E0846E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EA102C90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3310243C"/>
    <w:multiLevelType w:val="hybridMultilevel"/>
    <w:tmpl w:val="EA22A5B0"/>
    <w:lvl w:ilvl="0" w:tplc="E2B261CE">
      <w:start w:val="1"/>
      <w:numFmt w:val="decimal"/>
      <w:lvlText w:val="%1."/>
      <w:lvlJc w:val="left"/>
      <w:pPr>
        <w:ind w:left="792" w:hanging="360"/>
      </w:pPr>
      <w:rPr>
        <w:color w:val="000000"/>
      </w:rPr>
    </w:lvl>
    <w:lvl w:ilvl="1" w:tplc="7572FDC6">
      <w:start w:val="1"/>
      <w:numFmt w:val="lowerLetter"/>
      <w:lvlText w:val="%2."/>
      <w:lvlJc w:val="left"/>
      <w:pPr>
        <w:ind w:left="1512" w:hanging="360"/>
      </w:pPr>
      <w:rPr>
        <w:color w:val="000000"/>
      </w:rPr>
    </w:lvl>
    <w:lvl w:ilvl="2" w:tplc="596A9E46">
      <w:start w:val="1"/>
      <w:numFmt w:val="lowerRoman"/>
      <w:lvlText w:val="%3."/>
      <w:lvlJc w:val="right"/>
      <w:pPr>
        <w:ind w:left="2232" w:hanging="168"/>
      </w:pPr>
      <w:rPr>
        <w:color w:val="000000"/>
      </w:rPr>
    </w:lvl>
    <w:lvl w:ilvl="3" w:tplc="6688EAFE">
      <w:start w:val="1"/>
      <w:numFmt w:val="decimal"/>
      <w:lvlText w:val="%4."/>
      <w:lvlJc w:val="left"/>
      <w:pPr>
        <w:ind w:left="2952" w:hanging="360"/>
      </w:pPr>
      <w:rPr>
        <w:color w:val="000000"/>
      </w:rPr>
    </w:lvl>
    <w:lvl w:ilvl="4" w:tplc="BC964906">
      <w:start w:val="1"/>
      <w:numFmt w:val="lowerLetter"/>
      <w:lvlText w:val="%5."/>
      <w:lvlJc w:val="left"/>
      <w:pPr>
        <w:ind w:left="3672" w:hanging="360"/>
      </w:pPr>
      <w:rPr>
        <w:color w:val="000000"/>
      </w:rPr>
    </w:lvl>
    <w:lvl w:ilvl="5" w:tplc="BB44AB6C">
      <w:start w:val="1"/>
      <w:numFmt w:val="lowerRoman"/>
      <w:lvlText w:val="%6."/>
      <w:lvlJc w:val="right"/>
      <w:pPr>
        <w:ind w:left="4392" w:hanging="168"/>
      </w:pPr>
      <w:rPr>
        <w:color w:val="000000"/>
      </w:rPr>
    </w:lvl>
    <w:lvl w:ilvl="6" w:tplc="DCA8D108">
      <w:start w:val="1"/>
      <w:numFmt w:val="decimal"/>
      <w:lvlText w:val="%7."/>
      <w:lvlJc w:val="left"/>
      <w:pPr>
        <w:ind w:left="5112" w:hanging="360"/>
      </w:pPr>
      <w:rPr>
        <w:color w:val="000000"/>
      </w:rPr>
    </w:lvl>
    <w:lvl w:ilvl="7" w:tplc="B13022D8">
      <w:start w:val="1"/>
      <w:numFmt w:val="lowerLetter"/>
      <w:lvlText w:val="%8."/>
      <w:lvlJc w:val="left"/>
      <w:pPr>
        <w:ind w:left="5832" w:hanging="360"/>
      </w:pPr>
      <w:rPr>
        <w:color w:val="000000"/>
      </w:rPr>
    </w:lvl>
    <w:lvl w:ilvl="8" w:tplc="18025F7A">
      <w:start w:val="1"/>
      <w:numFmt w:val="lowerRoman"/>
      <w:lvlText w:val="%9."/>
      <w:lvlJc w:val="right"/>
      <w:pPr>
        <w:ind w:left="6552" w:hanging="168"/>
      </w:pPr>
      <w:rPr>
        <w:color w:val="000000"/>
      </w:rPr>
    </w:lvl>
  </w:abstractNum>
  <w:abstractNum w:abstractNumId="2" w15:restartNumberingAfterBreak="0">
    <w:nsid w:val="4F0F80B4"/>
    <w:multiLevelType w:val="hybridMultilevel"/>
    <w:tmpl w:val="69B22DFA"/>
    <w:lvl w:ilvl="0" w:tplc="4A7CEE88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84F429AC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24BCABB2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56DA55AA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D9B8FF8C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667AC2B6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35903180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45A088F8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D143AF2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6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DF3"/>
    <w:rsid w:val="000F464E"/>
    <w:rsid w:val="00567CDB"/>
    <w:rsid w:val="005A2797"/>
    <w:rsid w:val="00974DA7"/>
    <w:rsid w:val="00AC6DF3"/>
    <w:rsid w:val="00E02F51"/>
    <w:rsid w:val="00E22CB0"/>
    <w:rsid w:val="00E7694B"/>
    <w:rsid w:val="00E81C2E"/>
    <w:rsid w:val="00E84E5E"/>
    <w:rsid w:val="00ED2E84"/>
    <w:rsid w:val="00F13643"/>
    <w:rsid w:val="00F6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FE74B4-BF2A-4FB9-B4BC-DB709D98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84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de0ea">
    <w:name w:val="Зc7нedаe0кea"/>
    <w:basedOn w:val="a"/>
    <w:pPr>
      <w:spacing w:after="144"/>
    </w:pPr>
    <w:rPr>
      <w:rFonts w:ascii="Verdana" w:hAnsi="Verdana"/>
      <w:sz w:val="20"/>
    </w:rPr>
  </w:style>
  <w:style w:type="paragraph" w:customStyle="1" w:styleId="cee1fbf7edfbe913eff2">
    <w:name w:val="Оceбe1ыfbчf7нedыfbйe9 + 13 пefтf2"/>
    <w:basedOn w:val="a"/>
    <w:pPr>
      <w:ind w:left="5664"/>
    </w:pPr>
  </w:style>
  <w:style w:type="paragraph" w:customStyle="1" w:styleId="cef1edeee2edeee9f2e5eaf1f2f1eef2f1f2f3efeeec21">
    <w:name w:val="Оceсf1нedоeeвe2нedоeeйe9 тf2еe5кeaсf1тf2 сf1 оeeтf2сf1тf2уf3пefоeeмec 21"/>
    <w:basedOn w:val="a"/>
    <w:pPr>
      <w:ind w:firstLine="696"/>
      <w:jc w:val="both"/>
    </w:pPr>
  </w:style>
  <w:style w:type="paragraph" w:styleId="a3">
    <w:name w:val="header"/>
    <w:basedOn w:val="a"/>
    <w:rPr>
      <w:sz w:val="24"/>
    </w:rPr>
  </w:style>
  <w:style w:type="paragraph" w:styleId="a4">
    <w:name w:val="footer"/>
    <w:basedOn w:val="a"/>
    <w:rPr>
      <w:sz w:val="24"/>
    </w:rPr>
  </w:style>
  <w:style w:type="character" w:styleId="a5">
    <w:name w:val="line number"/>
    <w:basedOn w:val="a0"/>
    <w:semiHidden/>
    <w:rPr>
      <w:color w:val="000000"/>
      <w:sz w:val="28"/>
    </w:rPr>
  </w:style>
  <w:style w:type="character" w:styleId="a6">
    <w:name w:val="Hyperlink"/>
    <w:basedOn w:val="a0"/>
    <w:rPr>
      <w:color w:val="0000FF"/>
      <w:sz w:val="28"/>
      <w:u w:val="single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7">
    <w:name w:val="Верхний колонтитул Знак"/>
    <w:basedOn w:val="a0"/>
    <w:rPr>
      <w:rFonts w:ascii="Calibri" w:hAnsi="Calibri"/>
      <w:color w:val="000000"/>
    </w:rPr>
  </w:style>
  <w:style w:type="character" w:customStyle="1" w:styleId="a8">
    <w:name w:val="Нижний колонтитул Знак"/>
    <w:basedOn w:val="a0"/>
    <w:rPr>
      <w:rFonts w:ascii="Calibri" w:hAnsi="Calibri"/>
      <w:color w:val="000000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2016-08-21T10:57:00Z</dcterms:created>
  <dcterms:modified xsi:type="dcterms:W3CDTF">2016-08-21T10:57:00Z</dcterms:modified>
</cp:coreProperties>
</file>