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5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7011"/>
        <w:gridCol w:w="1013"/>
        <w:gridCol w:w="2481"/>
      </w:tblGrid>
      <w:tr w:rsidR="00A763B0" w:rsidRPr="0088656F" w:rsidTr="00A763B0">
        <w:trPr>
          <w:trHeight w:val="37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E56E91" w:rsidRDefault="00A763B0" w:rsidP="00F27E38">
            <w:pPr>
              <w:keepNext w:val="0"/>
              <w:keepLines w:val="0"/>
              <w:widowControl w:val="0"/>
              <w:ind w:right="-84"/>
              <w:rPr>
                <w:sz w:val="20"/>
              </w:rPr>
            </w:pPr>
            <w:r w:rsidRPr="0088656F">
              <w:rPr>
                <w:sz w:val="20"/>
              </w:rPr>
              <w:t>Техническое обслуживание светофорных объектов (месячное)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 xml:space="preserve">1  </w:t>
            </w:r>
          </w:p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светофорный объект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E56E91" w:rsidRDefault="00A763B0" w:rsidP="00F27E38">
            <w:pPr>
              <w:keepNext w:val="0"/>
              <w:keepLines w:val="0"/>
              <w:widowControl w:val="0"/>
              <w:ind w:right="-84"/>
              <w:rPr>
                <w:sz w:val="20"/>
              </w:rPr>
            </w:pPr>
            <w:r w:rsidRPr="0088656F">
              <w:rPr>
                <w:sz w:val="20"/>
              </w:rPr>
              <w:t xml:space="preserve"> Техническое обслуживание светофорных объектов (квартальное)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 xml:space="preserve">1  </w:t>
            </w:r>
          </w:p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светофорный объект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A763B0" w:rsidRDefault="00A763B0" w:rsidP="00F27E38">
            <w:pPr>
              <w:keepNext w:val="0"/>
              <w:keepLines w:val="0"/>
              <w:widowControl w:val="0"/>
              <w:ind w:right="-84"/>
              <w:rPr>
                <w:sz w:val="20"/>
              </w:rPr>
            </w:pPr>
            <w:r w:rsidRPr="0088656F">
              <w:rPr>
                <w:sz w:val="20"/>
              </w:rPr>
              <w:t xml:space="preserve"> Техническое обслуживание светофорных объектов (полугодовое)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 xml:space="preserve">1  </w:t>
            </w:r>
          </w:p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светофорный объект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E56E91" w:rsidRDefault="00A763B0" w:rsidP="00F27E38">
            <w:pPr>
              <w:keepNext w:val="0"/>
              <w:keepLines w:val="0"/>
              <w:widowControl w:val="0"/>
              <w:ind w:right="-84"/>
              <w:rPr>
                <w:sz w:val="20"/>
              </w:rPr>
            </w:pPr>
            <w:r w:rsidRPr="0088656F">
              <w:rPr>
                <w:sz w:val="20"/>
              </w:rPr>
              <w:t xml:space="preserve"> Техническое обслуживание светофорных объектов (годовое)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 xml:space="preserve">1  </w:t>
            </w:r>
          </w:p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светофорный объект</w:t>
            </w:r>
          </w:p>
        </w:tc>
      </w:tr>
      <w:tr w:rsidR="00A763B0" w:rsidRPr="0088656F" w:rsidTr="00A763B0">
        <w:trPr>
          <w:trHeight w:val="75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E56E91" w:rsidRDefault="00A763B0" w:rsidP="00F27E38">
            <w:pPr>
              <w:keepNext w:val="0"/>
              <w:keepLines w:val="0"/>
              <w:widowControl w:val="0"/>
              <w:ind w:right="-84"/>
              <w:rPr>
                <w:sz w:val="20"/>
              </w:rPr>
            </w:pPr>
            <w:r w:rsidRPr="0088656F">
              <w:rPr>
                <w:sz w:val="20"/>
              </w:rPr>
              <w:t xml:space="preserve"> Замена светодиодного блока на светофоре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 xml:space="preserve">1  </w:t>
            </w:r>
          </w:p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блок</w:t>
            </w:r>
          </w:p>
        </w:tc>
      </w:tr>
      <w:tr w:rsidR="00A763B0" w:rsidRPr="0088656F" w:rsidTr="00A763B0">
        <w:trPr>
          <w:trHeight w:val="186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 xml:space="preserve">  Квартальное обслуживание АПП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proofErr w:type="spellStart"/>
            <w:proofErr w:type="gramStart"/>
            <w:r w:rsidRPr="0088656F">
              <w:rPr>
                <w:sz w:val="20"/>
              </w:rPr>
              <w:t>шт</w:t>
            </w:r>
            <w:proofErr w:type="spellEnd"/>
            <w:proofErr w:type="gramEnd"/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>Техническое обслуживание шкафа учета электроэнергии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шкаф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>Заявочный ремонт контроллера ДКМ на светофорном объекте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контроллер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>Заявочный ремонт контроллера ДКМ в мастерской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контроллер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>Техническое обслуживание электрооборудования светофорных объектов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 xml:space="preserve">1  </w:t>
            </w:r>
          </w:p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светофорный объект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>Изготовление стоек  для светофора с покраской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proofErr w:type="spellStart"/>
            <w:proofErr w:type="gramStart"/>
            <w:r w:rsidRPr="0088656F">
              <w:rPr>
                <w:sz w:val="20"/>
              </w:rPr>
              <w:t>шт</w:t>
            </w:r>
            <w:proofErr w:type="spellEnd"/>
            <w:proofErr w:type="gramEnd"/>
          </w:p>
        </w:tc>
      </w:tr>
      <w:tr w:rsidR="00A763B0" w:rsidRPr="0088656F" w:rsidTr="00A763B0">
        <w:trPr>
          <w:trHeight w:val="151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>Замена пешеходного (Т.7) светофора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 xml:space="preserve">1  </w:t>
            </w:r>
          </w:p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блок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 xml:space="preserve">Замена контрольного кабеля светофора в металлической трубе 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10</w:t>
            </w:r>
            <w:bookmarkStart w:id="0" w:name="_GoBack"/>
            <w:bookmarkEnd w:id="0"/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м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>Замена установочного кабеля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 xml:space="preserve">1  </w:t>
            </w:r>
          </w:p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светофорный объект</w:t>
            </w:r>
          </w:p>
        </w:tc>
      </w:tr>
      <w:tr w:rsidR="00A763B0" w:rsidRPr="0088656F" w:rsidTr="00A763B0">
        <w:trPr>
          <w:trHeight w:val="300"/>
        </w:trPr>
        <w:tc>
          <w:tcPr>
            <w:tcW w:w="7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rPr>
                <w:sz w:val="20"/>
              </w:rPr>
            </w:pPr>
            <w:r w:rsidRPr="0088656F">
              <w:rPr>
                <w:sz w:val="20"/>
              </w:rPr>
              <w:t>Переезды между объектами на расстояние 15 км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63B0" w:rsidRPr="0088656F" w:rsidRDefault="00A763B0" w:rsidP="00F27E38">
            <w:pPr>
              <w:keepNext w:val="0"/>
              <w:keepLines w:val="0"/>
              <w:widowControl w:val="0"/>
              <w:jc w:val="both"/>
              <w:rPr>
                <w:sz w:val="20"/>
              </w:rPr>
            </w:pPr>
            <w:r w:rsidRPr="0088656F">
              <w:rPr>
                <w:sz w:val="20"/>
              </w:rPr>
              <w:t>пробег</w:t>
            </w:r>
          </w:p>
        </w:tc>
      </w:tr>
    </w:tbl>
    <w:p w:rsidR="00A763B0" w:rsidRPr="00E56E91" w:rsidRDefault="00A763B0" w:rsidP="00A763B0">
      <w:pPr>
        <w:keepNext w:val="0"/>
        <w:keepLines w:val="0"/>
        <w:widowControl w:val="0"/>
        <w:jc w:val="center"/>
        <w:rPr>
          <w:b/>
          <w:bCs/>
          <w:i/>
          <w:sz w:val="21"/>
          <w:szCs w:val="21"/>
        </w:rPr>
      </w:pPr>
      <w:r w:rsidRPr="00E56E91">
        <w:rPr>
          <w:b/>
          <w:bCs/>
          <w:i/>
          <w:sz w:val="21"/>
          <w:szCs w:val="21"/>
        </w:rPr>
        <w:t>Требования к материалам (товарам), которые должны быть использованы в ходе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"/>
        <w:gridCol w:w="2615"/>
        <w:gridCol w:w="6382"/>
      </w:tblGrid>
      <w:tr w:rsidR="00A763B0" w:rsidRPr="005624E2" w:rsidTr="00F27E38">
        <w:tc>
          <w:tcPr>
            <w:tcW w:w="300" w:type="pct"/>
          </w:tcPr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center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 xml:space="preserve">№ </w:t>
            </w:r>
            <w:proofErr w:type="gramStart"/>
            <w:r w:rsidRPr="005624E2">
              <w:rPr>
                <w:b/>
                <w:bCs/>
                <w:i/>
                <w:sz w:val="20"/>
              </w:rPr>
              <w:t>п</w:t>
            </w:r>
            <w:proofErr w:type="gramEnd"/>
            <w:r w:rsidRPr="005624E2">
              <w:rPr>
                <w:b/>
                <w:bCs/>
                <w:i/>
                <w:sz w:val="20"/>
              </w:rPr>
              <w:t>/п</w:t>
            </w:r>
          </w:p>
        </w:tc>
        <w:tc>
          <w:tcPr>
            <w:tcW w:w="1366" w:type="pct"/>
          </w:tcPr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center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Наименование материала (товара)</w:t>
            </w:r>
          </w:p>
        </w:tc>
        <w:tc>
          <w:tcPr>
            <w:tcW w:w="3334" w:type="pct"/>
          </w:tcPr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center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Характеристика материала (товара)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center"/>
              <w:rPr>
                <w:b/>
                <w:bCs/>
                <w:i/>
                <w:sz w:val="20"/>
              </w:rPr>
            </w:pPr>
          </w:p>
        </w:tc>
      </w:tr>
      <w:tr w:rsidR="00A763B0" w:rsidRPr="005624E2" w:rsidTr="00F27E38">
        <w:trPr>
          <w:trHeight w:val="2472"/>
        </w:trPr>
        <w:tc>
          <w:tcPr>
            <w:tcW w:w="300" w:type="pct"/>
          </w:tcPr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1.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2.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3.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4.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5.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6.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sz w:val="20"/>
              </w:rPr>
            </w:pPr>
            <w:r w:rsidRPr="005624E2">
              <w:rPr>
                <w:b/>
                <w:bCs/>
                <w:i/>
                <w:sz w:val="20"/>
              </w:rPr>
              <w:t>7.</w:t>
            </w:r>
          </w:p>
        </w:tc>
        <w:tc>
          <w:tcPr>
            <w:tcW w:w="1366" w:type="pct"/>
          </w:tcPr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  <w:r w:rsidRPr="005624E2">
              <w:rPr>
                <w:b/>
                <w:bCs/>
                <w:i/>
                <w:iCs/>
                <w:sz w:val="20"/>
              </w:rPr>
              <w:lastRenderedPageBreak/>
              <w:t>Барьерное ограждение 11-ДО: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  <w:r w:rsidRPr="005624E2">
              <w:rPr>
                <w:b/>
                <w:bCs/>
                <w:i/>
                <w:iCs/>
                <w:sz w:val="20"/>
              </w:rPr>
              <w:t>Перильное ограждение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  <w:r w:rsidRPr="005624E2">
              <w:rPr>
                <w:b/>
                <w:bCs/>
                <w:i/>
                <w:iCs/>
                <w:sz w:val="20"/>
              </w:rPr>
              <w:t>Металлические стойки для устройства дорожных знаков, сигнальные столбики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  <w:r w:rsidRPr="005624E2">
              <w:rPr>
                <w:b/>
                <w:bCs/>
                <w:i/>
                <w:iCs/>
                <w:sz w:val="20"/>
              </w:rPr>
              <w:t xml:space="preserve">Щитки дорожных знаков. 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rPr>
                <w:b/>
                <w:bCs/>
                <w:i/>
                <w:iCs/>
                <w:sz w:val="20"/>
              </w:rPr>
            </w:pPr>
            <w:r w:rsidRPr="005624E2">
              <w:rPr>
                <w:b/>
                <w:bCs/>
                <w:i/>
                <w:iCs/>
                <w:sz w:val="20"/>
              </w:rPr>
              <w:t xml:space="preserve">Транспортные светофоры 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  <w:r w:rsidRPr="005624E2">
              <w:rPr>
                <w:b/>
                <w:bCs/>
                <w:i/>
                <w:iCs/>
                <w:sz w:val="20"/>
              </w:rPr>
              <w:t>Контрольный кабель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/>
                <w:bCs/>
                <w:i/>
                <w:iCs/>
                <w:sz w:val="20"/>
              </w:rPr>
            </w:pPr>
            <w:r w:rsidRPr="005624E2">
              <w:rPr>
                <w:b/>
                <w:bCs/>
                <w:i/>
                <w:iCs/>
                <w:sz w:val="20"/>
              </w:rPr>
              <w:t>Установочный кабель</w:t>
            </w:r>
          </w:p>
        </w:tc>
        <w:tc>
          <w:tcPr>
            <w:tcW w:w="3334" w:type="pct"/>
          </w:tcPr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lastRenderedPageBreak/>
              <w:t xml:space="preserve"> С покрытием горячего </w:t>
            </w:r>
            <w:proofErr w:type="spellStart"/>
            <w:r w:rsidRPr="005624E2">
              <w:rPr>
                <w:bCs/>
                <w:i/>
                <w:iCs/>
                <w:sz w:val="20"/>
              </w:rPr>
              <w:t>цинкования</w:t>
            </w:r>
            <w:proofErr w:type="spellEnd"/>
            <w:r w:rsidRPr="005624E2">
              <w:rPr>
                <w:bCs/>
                <w:i/>
                <w:iCs/>
                <w:sz w:val="20"/>
              </w:rPr>
              <w:t>, ГОСТ</w:t>
            </w:r>
            <w:r w:rsidRPr="005624E2">
              <w:rPr>
                <w:i/>
                <w:sz w:val="20"/>
              </w:rPr>
              <w:t xml:space="preserve"> </w:t>
            </w:r>
            <w:r w:rsidRPr="005624E2">
              <w:rPr>
                <w:bCs/>
                <w:i/>
                <w:iCs/>
                <w:sz w:val="20"/>
              </w:rPr>
              <w:t>26804-2012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>– секция балки СБ-1;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>– стойка СД, длиной 1,7м;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i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>– консоли КЖ, КА;</w:t>
            </w:r>
            <w:r w:rsidRPr="005624E2">
              <w:rPr>
                <w:i/>
                <w:sz w:val="20"/>
              </w:rPr>
              <w:t xml:space="preserve"> 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>– болты, гайки, шайбы – оцинкованные;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>– светоотражатели.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 xml:space="preserve">– горячекатаная арматура сталь гладкая класса А-I в зависимости от использования диаметром от 10 до 32мм,  </w:t>
            </w:r>
            <w:proofErr w:type="gramStart"/>
            <w:r w:rsidRPr="005624E2">
              <w:rPr>
                <w:bCs/>
                <w:i/>
                <w:iCs/>
                <w:sz w:val="20"/>
              </w:rPr>
              <w:t>А</w:t>
            </w:r>
            <w:proofErr w:type="gramEnd"/>
            <w:r w:rsidRPr="005624E2">
              <w:rPr>
                <w:bCs/>
                <w:i/>
                <w:iCs/>
                <w:sz w:val="20"/>
              </w:rPr>
              <w:t>-II, в зависимости от использования диаметром от 18 до 20мм, ГОСТ 5781-82;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>– сталь угловая, равнополочная, марка стали ВСт3кп2, размером 50х50мм, 63х63мм, 70х70мм, 75х75мм, 90х90мм, 100х100мм, ГОСТ 8509-93;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>– швеллер в зависимости от использования от №5 до №16, ГОСТ 8240-97;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 xml:space="preserve">– стальная полоса поперечным сечением 4х80мм, 4х100мм, ГОСТ 103-2006. 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proofErr w:type="gramStart"/>
            <w:r w:rsidRPr="005624E2">
              <w:rPr>
                <w:bCs/>
                <w:i/>
                <w:iCs/>
                <w:sz w:val="20"/>
              </w:rPr>
              <w:t xml:space="preserve">Металлическая стойка (труба диаметром 57мм, 76мм, 89мм, 108мм и от 159 до 273мм (в зависимости от использования), электросварная </w:t>
            </w:r>
            <w:proofErr w:type="spellStart"/>
            <w:r w:rsidRPr="005624E2">
              <w:rPr>
                <w:bCs/>
                <w:i/>
                <w:iCs/>
                <w:sz w:val="20"/>
              </w:rPr>
              <w:t>прямошовная</w:t>
            </w:r>
            <w:proofErr w:type="spellEnd"/>
            <w:r w:rsidRPr="005624E2">
              <w:rPr>
                <w:bCs/>
                <w:i/>
                <w:iCs/>
                <w:sz w:val="20"/>
              </w:rPr>
              <w:t xml:space="preserve"> (по ГОСТ 10704-91) из стали марок БСт2кп, или БСт3кп, или БСт4кп и  БСт2пс, или БСт3пс, или БСт4пс.</w:t>
            </w:r>
            <w:proofErr w:type="gramEnd"/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 xml:space="preserve"> Дорожные знаки должны соответствовать требованиям </w:t>
            </w:r>
            <w:r w:rsidRPr="005624E2">
              <w:rPr>
                <w:i/>
                <w:sz w:val="20"/>
              </w:rPr>
              <w:t xml:space="preserve">ГОСТ </w:t>
            </w:r>
            <w:proofErr w:type="gramStart"/>
            <w:r w:rsidRPr="005624E2">
              <w:rPr>
                <w:bCs/>
                <w:i/>
                <w:iCs/>
                <w:sz w:val="20"/>
              </w:rPr>
              <w:t>Р</w:t>
            </w:r>
            <w:proofErr w:type="gramEnd"/>
            <w:r w:rsidRPr="005624E2">
              <w:rPr>
                <w:bCs/>
                <w:i/>
                <w:iCs/>
                <w:sz w:val="20"/>
              </w:rPr>
              <w:t xml:space="preserve"> 52290-2004.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 xml:space="preserve">ГОСТ 52282-2004. Потребляемая мощность не более 210 Вт; корпус из ABS-пластика; диапазон рабочих температур светодиодных светофоров: от – 50 </w:t>
            </w:r>
            <w:r w:rsidRPr="005624E2">
              <w:rPr>
                <w:bCs/>
                <w:i/>
                <w:iCs/>
                <w:sz w:val="20"/>
                <w:vertAlign w:val="superscript"/>
              </w:rPr>
              <w:t>0</w:t>
            </w:r>
            <w:r w:rsidRPr="005624E2">
              <w:rPr>
                <w:bCs/>
                <w:i/>
                <w:iCs/>
                <w:sz w:val="20"/>
              </w:rPr>
              <w:t xml:space="preserve"> до + 50 </w:t>
            </w:r>
            <w:r w:rsidRPr="005624E2">
              <w:rPr>
                <w:bCs/>
                <w:i/>
                <w:iCs/>
                <w:sz w:val="20"/>
                <w:vertAlign w:val="superscript"/>
              </w:rPr>
              <w:t>0</w:t>
            </w:r>
            <w:proofErr w:type="gramStart"/>
            <w:r w:rsidRPr="005624E2">
              <w:rPr>
                <w:bCs/>
                <w:i/>
                <w:iCs/>
                <w:sz w:val="20"/>
                <w:vertAlign w:val="superscript"/>
              </w:rPr>
              <w:t xml:space="preserve">  </w:t>
            </w:r>
            <w:r w:rsidRPr="005624E2">
              <w:rPr>
                <w:bCs/>
                <w:i/>
                <w:iCs/>
                <w:sz w:val="20"/>
              </w:rPr>
              <w:t>С</w:t>
            </w:r>
            <w:proofErr w:type="gramEnd"/>
            <w:r w:rsidRPr="005624E2">
              <w:rPr>
                <w:bCs/>
                <w:i/>
                <w:iCs/>
                <w:sz w:val="20"/>
              </w:rPr>
              <w:t xml:space="preserve"> (диапазонное значение не менее, включительно).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 xml:space="preserve">Исполнение: для   светофоров Т.7 - </w:t>
            </w:r>
            <w:proofErr w:type="spellStart"/>
            <w:r w:rsidRPr="005624E2">
              <w:rPr>
                <w:bCs/>
                <w:i/>
                <w:iCs/>
                <w:sz w:val="20"/>
              </w:rPr>
              <w:t>светоизлучатели</w:t>
            </w:r>
            <w:proofErr w:type="spellEnd"/>
            <w:r w:rsidRPr="005624E2">
              <w:rPr>
                <w:bCs/>
                <w:i/>
                <w:iCs/>
                <w:sz w:val="20"/>
              </w:rPr>
              <w:t xml:space="preserve"> из специальных линз, светодиодные блоки, звуковой сигнал, анимация и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 xml:space="preserve">обратный отсчет; диаметр излучающей поверхности: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5624E2">
                <w:rPr>
                  <w:bCs/>
                  <w:i/>
                  <w:iCs/>
                  <w:sz w:val="20"/>
                </w:rPr>
                <w:t>300 мм</w:t>
              </w:r>
            </w:smartTag>
            <w:r w:rsidRPr="005624E2">
              <w:rPr>
                <w:bCs/>
                <w:i/>
                <w:iCs/>
                <w:sz w:val="20"/>
              </w:rPr>
              <w:t xml:space="preserve">; </w:t>
            </w:r>
            <w:r w:rsidRPr="005624E2">
              <w:rPr>
                <w:bCs/>
                <w:i/>
                <w:iCs/>
                <w:sz w:val="20"/>
              </w:rPr>
              <w:lastRenderedPageBreak/>
              <w:t>индикация: красный стоящий пешеход - зеленый идущий пешеход (с анимацией), таймер - зеленого; рабочее напряжение 220В, 50Гц, управление от сигналов дорожного контроллера или светофора (автоматическая подстройка под временные режимы светофорного контроллера, точность 0,5сек, работает с любым типом контроллеров</w:t>
            </w:r>
            <w:r w:rsidR="00A91212">
              <w:rPr>
                <w:bCs/>
                <w:i/>
                <w:iCs/>
                <w:sz w:val="20"/>
              </w:rPr>
              <w:t>)</w:t>
            </w:r>
            <w:r>
              <w:rPr>
                <w:bCs/>
                <w:i/>
                <w:iCs/>
                <w:sz w:val="20"/>
              </w:rPr>
              <w:t>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 xml:space="preserve">С медными жилами, в изоляции и оболочке из ПВХ пластика пониженной горючести, </w:t>
            </w:r>
            <w:proofErr w:type="spellStart"/>
            <w:r w:rsidRPr="005624E2">
              <w:rPr>
                <w:bCs/>
                <w:i/>
                <w:iCs/>
                <w:sz w:val="20"/>
              </w:rPr>
              <w:t>КВВг</w:t>
            </w:r>
            <w:proofErr w:type="spellEnd"/>
            <w:r w:rsidRPr="005624E2">
              <w:rPr>
                <w:bCs/>
                <w:i/>
                <w:iCs/>
                <w:sz w:val="20"/>
              </w:rPr>
              <w:t xml:space="preserve"> сечением 14х1,5мм2, ГОСТ 26411-85.</w:t>
            </w: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</w:p>
          <w:p w:rsidR="00A763B0" w:rsidRPr="005624E2" w:rsidRDefault="00A763B0" w:rsidP="00F27E38">
            <w:pPr>
              <w:keepNext w:val="0"/>
              <w:keepLines w:val="0"/>
              <w:widowControl w:val="0"/>
              <w:suppressAutoHyphens/>
              <w:jc w:val="both"/>
              <w:rPr>
                <w:bCs/>
                <w:i/>
                <w:iCs/>
                <w:sz w:val="20"/>
              </w:rPr>
            </w:pPr>
            <w:r w:rsidRPr="005624E2">
              <w:rPr>
                <w:bCs/>
                <w:i/>
                <w:iCs/>
                <w:sz w:val="20"/>
              </w:rPr>
              <w:t xml:space="preserve">С медными жилами в изоляции и оболочке из ПВХ пластика пониженной горючести, </w:t>
            </w:r>
            <w:proofErr w:type="spellStart"/>
            <w:r w:rsidRPr="005624E2">
              <w:rPr>
                <w:bCs/>
                <w:i/>
                <w:iCs/>
                <w:sz w:val="20"/>
              </w:rPr>
              <w:t>КВВг</w:t>
            </w:r>
            <w:proofErr w:type="spellEnd"/>
            <w:r w:rsidRPr="005624E2">
              <w:rPr>
                <w:bCs/>
                <w:i/>
                <w:iCs/>
                <w:sz w:val="20"/>
              </w:rPr>
              <w:t xml:space="preserve"> сечением 14х1,5мм2,  ГОСТ 1508-78.</w:t>
            </w:r>
          </w:p>
        </w:tc>
      </w:tr>
    </w:tbl>
    <w:p w:rsidR="00546205" w:rsidRDefault="00546205"/>
    <w:sectPr w:rsidR="00546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B0"/>
    <w:rsid w:val="00546205"/>
    <w:rsid w:val="00617A9C"/>
    <w:rsid w:val="00A763B0"/>
    <w:rsid w:val="00A9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3B0"/>
    <w:pPr>
      <w:keepNext/>
      <w:keepLine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3B0"/>
    <w:pPr>
      <w:keepNext/>
      <w:keepLine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2016-06-10T08:42:00Z</dcterms:created>
  <dcterms:modified xsi:type="dcterms:W3CDTF">2016-06-14T04:50:00Z</dcterms:modified>
</cp:coreProperties>
</file>