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Ind w:w="225" w:type="dxa"/>
        <w:tblCellMar>
          <w:top w:w="15" w:type="dxa"/>
          <w:left w:w="75" w:type="dxa"/>
          <w:bottom w:w="15" w:type="dxa"/>
          <w:right w:w="75" w:type="dxa"/>
        </w:tblCellMar>
        <w:tblLook w:val="04A0"/>
      </w:tblPr>
      <w:tblGrid>
        <w:gridCol w:w="9145"/>
        <w:gridCol w:w="345"/>
      </w:tblGrid>
      <w:tr w:rsidR="00A331C5" w:rsidRPr="00A331C5" w:rsidTr="00A331C5">
        <w:trPr>
          <w:tblCellSpacing w:w="15" w:type="dxa"/>
        </w:trPr>
        <w:tc>
          <w:tcPr>
            <w:tcW w:w="5000" w:type="pct"/>
            <w:shd w:val="clear" w:color="auto" w:fill="F3F5F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31C5" w:rsidRPr="00A331C5" w:rsidRDefault="00A331C5" w:rsidP="00A331C5">
            <w:pPr>
              <w:spacing w:before="45" w:after="45" w:line="315" w:lineRule="atLeast"/>
              <w:rPr>
                <w:rFonts w:ascii="Arial" w:eastAsia="Times New Roman" w:hAnsi="Arial" w:cs="Arial"/>
                <w:b/>
                <w:bCs/>
                <w:color w:val="616161"/>
                <w:sz w:val="26"/>
                <w:szCs w:val="26"/>
              </w:rPr>
            </w:pPr>
            <w:r w:rsidRPr="00A331C5">
              <w:rPr>
                <w:rFonts w:ascii="Arial" w:eastAsia="Times New Roman" w:hAnsi="Arial" w:cs="Arial"/>
                <w:b/>
                <w:bCs/>
                <w:color w:val="616161"/>
                <w:sz w:val="26"/>
                <w:szCs w:val="26"/>
              </w:rPr>
              <w:fldChar w:fldCharType="begin"/>
            </w:r>
            <w:r w:rsidRPr="00A331C5">
              <w:rPr>
                <w:rFonts w:ascii="Arial" w:eastAsia="Times New Roman" w:hAnsi="Arial" w:cs="Arial"/>
                <w:b/>
                <w:bCs/>
                <w:color w:val="616161"/>
                <w:sz w:val="26"/>
                <w:szCs w:val="26"/>
              </w:rPr>
              <w:instrText xml:space="preserve"> HYPERLINK "http://www.fz94.ru/metodicheskie-rekomendacii/2011-10-13-10-51-06.html" </w:instrText>
            </w:r>
            <w:r w:rsidRPr="00A331C5">
              <w:rPr>
                <w:rFonts w:ascii="Arial" w:eastAsia="Times New Roman" w:hAnsi="Arial" w:cs="Arial"/>
                <w:b/>
                <w:bCs/>
                <w:color w:val="616161"/>
                <w:sz w:val="26"/>
                <w:szCs w:val="26"/>
              </w:rPr>
              <w:fldChar w:fldCharType="separate"/>
            </w:r>
            <w:r w:rsidRPr="00A331C5">
              <w:rPr>
                <w:rFonts w:ascii="Arial" w:eastAsia="Times New Roman" w:hAnsi="Arial" w:cs="Arial"/>
                <w:b/>
                <w:bCs/>
                <w:color w:val="0000FF"/>
                <w:sz w:val="26"/>
                <w:szCs w:val="26"/>
              </w:rPr>
              <w:t>Рекомендации по осуществлению государственных закупок персональных компьютеров в РФ (94-ФЗ)</w:t>
            </w:r>
            <w:r w:rsidRPr="00A331C5">
              <w:rPr>
                <w:rFonts w:ascii="Arial" w:eastAsia="Times New Roman" w:hAnsi="Arial" w:cs="Arial"/>
                <w:b/>
                <w:bCs/>
                <w:color w:val="616161"/>
                <w:sz w:val="26"/>
                <w:szCs w:val="26"/>
              </w:rPr>
              <w:fldChar w:fldCharType="end"/>
            </w:r>
            <w:r w:rsidRPr="00A331C5">
              <w:rPr>
                <w:rFonts w:ascii="Arial" w:eastAsia="Times New Roman" w:hAnsi="Arial" w:cs="Arial"/>
                <w:b/>
                <w:bCs/>
                <w:color w:val="616161"/>
                <w:sz w:val="26"/>
                <w:szCs w:val="26"/>
              </w:rPr>
              <w:t xml:space="preserve"> </w:t>
            </w:r>
          </w:p>
        </w:tc>
        <w:tc>
          <w:tcPr>
            <w:tcW w:w="5000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A331C5" w:rsidRPr="00A331C5" w:rsidRDefault="00A331C5" w:rsidP="00A331C5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FF"/>
                <w:sz w:val="20"/>
                <w:szCs w:val="20"/>
              </w:rPr>
              <w:drawing>
                <wp:inline distT="0" distB="0" distL="0" distR="0">
                  <wp:extent cx="152400" cy="152400"/>
                  <wp:effectExtent l="0" t="0" r="0" b="0"/>
                  <wp:docPr id="1" name="Рисунок 1" descr="Печать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ечать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31C5" w:rsidRPr="00A331C5" w:rsidRDefault="00A331C5" w:rsidP="00A331C5">
      <w:pPr>
        <w:spacing w:after="0" w:line="240" w:lineRule="auto"/>
        <w:ind w:left="450" w:right="450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5" w:type="dxa"/>
        <w:tblInd w:w="225" w:type="dxa"/>
        <w:tblCellMar>
          <w:top w:w="15" w:type="dxa"/>
          <w:left w:w="75" w:type="dxa"/>
          <w:bottom w:w="15" w:type="dxa"/>
          <w:right w:w="75" w:type="dxa"/>
        </w:tblCellMar>
        <w:tblLook w:val="04A0"/>
      </w:tblPr>
      <w:tblGrid>
        <w:gridCol w:w="9565"/>
      </w:tblGrid>
      <w:tr w:rsidR="00A331C5" w:rsidRPr="00A331C5" w:rsidTr="00A331C5">
        <w:trPr>
          <w:tblCellSpacing w:w="15" w:type="dxa"/>
        </w:trPr>
        <w:tc>
          <w:tcPr>
            <w:tcW w:w="0" w:type="auto"/>
            <w:hideMark/>
          </w:tcPr>
          <w:p w:rsidR="00A331C5" w:rsidRPr="00A331C5" w:rsidRDefault="00A331C5" w:rsidP="00A331C5">
            <w:pPr>
              <w:spacing w:before="100" w:beforeAutospacing="1" w:after="0" w:line="24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b/>
                <w:color w:val="333333"/>
                <w:sz w:val="20"/>
                <w:szCs w:val="20"/>
              </w:rPr>
              <w:t>1. Введение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Микропроцессоры, как составная часть компьютеров, ноутбуков или серверов, закупаются в составе перечисленного оборудования, которое приобретается государственными и муниципальными органами («заказчики») с помощью электронных аукционов, проводимых на официальных электронных площадках в сети «Интернет».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При закупке персональных компьютеров, ноутбуков и серверов чрезвычайно важным является соблюдение честной и открытой конкуренции, в том числе между разработчиками процессоров архитектуры «х86».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Федеральной антимонопольной службой России (далее - ФАС России) установлено, что увеличение числа предложений от участников аукционов; производителей компьютеров – на базе микропроцессоров разных разработчиков может привести к снижению цен и экономии бюджетных сре</w:t>
            </w:r>
            <w:proofErr w:type="gram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дств пр</w:t>
            </w:r>
            <w:proofErr w:type="gram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и проведении аукциона. Конкуренция помогает обеспечить наилучший выбор и цену для заказчика. На сэкономленные средства заказчики смогли бы увеличить количество поставляемого оборудования с целью обеспечения государственных служащих самыми современными технологиями.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Таким образом, для того, чтобы, с одной стороны, способствовать повышению конкуренции при проведении торгов среди всех потенциальных участников аукционов на поставку компьютерного оборудования с использованием микропроцессоров архитектуры «х86», а с другой; позволить заказчикам получить максимальную выгоду при проведении закупок, ФАС России обращает внимание </w:t>
            </w:r>
            <w:r w:rsidRPr="00A331C5">
              <w:rPr>
                <w:rFonts w:ascii="Arial" w:eastAsia="Times New Roman" w:hAnsi="Arial" w:cs="Arial"/>
                <w:b/>
                <w:color w:val="333333"/>
                <w:sz w:val="20"/>
                <w:szCs w:val="20"/>
              </w:rPr>
              <w:t>на недопустимость следующих действий: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- при составлении технических спецификаций аукционной документации включать в технические характеристики описание, характерное только для одного разработчика микропроцессоров и его компонентов, то есть описывать тип одного единственного микропроцессора с указанием на его товарный знак; указывать конкретные технические характеристики (например, тактовая частота, кэш-память, и т. д.), совокупности которых соответствует только один разработчик микропроцессоров и его компонентов, даже со словами «или эквивалент»;</w:t>
            </w:r>
            <w:proofErr w:type="gramEnd"/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- при использовании слов «или эквивалент» не указывать параметры эквивалентности товара, с целью определения соответствия предлагаемого к поставке товара потребностям заказчика.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Два наиболее активных разработчика на рынке микропроцессоров архитектуры «х86»</w:t>
            </w:r>
            <w:proofErr w:type="gram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;</w:t>
            </w:r>
            <w:proofErr w:type="gram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это компании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Intel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и AMD. В </w:t>
            </w:r>
            <w:proofErr w:type="gram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связи</w:t>
            </w:r>
            <w:proofErr w:type="gram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с чем при размещении заказа на закупку микропроцессора архитектуры «х86» заказчикам следует указывать характеристики сопоставимых платформ на базе процессоров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Intel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и AMD, а также аналогичные платформы других разработчиков (если они существуют).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b/>
                <w:color w:val="333333"/>
                <w:sz w:val="20"/>
                <w:szCs w:val="20"/>
              </w:rPr>
              <w:t xml:space="preserve">2. Проблематика 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 соответствии с пунктом 1 части 4 статьи 41.6 Федерального закона от 21 июля 2005 г. № 94-ФЗ «О размещении заказов на поставки товаров, выполнение работ, оказание услуг для государственных и муниципальных нужд» (далее - Закон № 94-ФЗ) заказчик в документации об аукционе указывает требования к техническим характеристикам закупаемого товара (компьютеры, ноутбуки, серверы).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В соответствии с частью 3 статьи 34 Закон № 94-ФЗ в случае, если размещение заказов осуществляется в форме электронного аукциона, документация об аукционе может содержать указание на товарные знаки, которые должны сопровождаться словами «или эквивалент»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</w:t>
            </w: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lastRenderedPageBreak/>
              <w:t>заказчиком, а также случаев размещения заказов</w:t>
            </w:r>
            <w:proofErr w:type="gram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на поставки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Эквивалентность товаров определяется в соответствии с требованиями и показателями, устанавливаемыми в соответствии с частью 2 статьи 34 Закона № 94-ФЗ.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Таким образом, помимо указания на товарные знаки, которые должны сопровождаться словами «или эквивалент», заказчик обязан установить в документации о торгах параметры эквивалентности, в соответствии с которыми участник делает предложение по поставке эквивалентного товара, а заказчик определяет соответствия предлагаемого товара своим потребностям. </w:t>
            </w:r>
            <w:proofErr w:type="gram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При этом в соответствии с частью 3.1 статьи 34 Закона №94-ФЗ и частью 1 статьи 17 Федерального закона от 26 июля 2006 г. № 135-ФЗ «О защите конкуренции» («Закон № 135-ФЗ») при проведении торгов запрещаются действия, которые приводят или могут привести к ограничению количества участников размещения заказа и, как следствие, к ограничению или устранению конкуренции.</w:t>
            </w:r>
            <w:proofErr w:type="gram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</w:t>
            </w:r>
            <w:proofErr w:type="gram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Вместе с тем ФАС России выявлены случаи, когда при формировании технических требований к товару в документации о торгах в соответствии с нормами Закона № 94-ФЗ (с указанием на товарный знак одного из производителей процессоров со словами «или эквивалент»), устанавливаемые требования могут привести к ограничению участия в аукционе для компаний, предлагающих к аукциону компьютеры с микропроцессорами других разработчиков микропроцессоров, что является нарушением</w:t>
            </w:r>
            <w:proofErr w:type="gram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указанных выше норм Закона №94-ФЗ и Закона № 135-ФЗ по следующим причинам: участники аукциона с целью гарантированного участия в аукционе предлагают к поставке компьютеры на базе процессоров /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чипсета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торговой марки, указанной в технической спецификации; в ряде случаев существует сложность в доказывании участниками аукциона эквивалентности технических характеристик продуктов, предлагаемых к поставке, указанным в технических требованиях характеристикам: не исключен риск того, что предложение участников аукциона будет отклонено из-за различий, по мнению заказчика, в технических характеристиках и несоответствия им.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b/>
                <w:color w:val="333333"/>
                <w:sz w:val="20"/>
                <w:szCs w:val="20"/>
              </w:rPr>
              <w:t>3. Обзор возможных нарушений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Дискриминационные технические требования к персональным компьютерам и ноутбукам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c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указанием товарного знака одного разработчика микропроцессоров (без сопровождения словами «или эквивалент» и указания параметров эквивалентности) могут привести к нарушению положений следующих норм: части 3 статьи 34 Закона № 94-ФЗ, если указание на товарный знак не сопровождается словами «или эквивалент» или не указаны параметры эквивалентности;</w:t>
            </w:r>
            <w:proofErr w:type="gram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части 3.1 статьи 34 Закона № 94-ФЗ, если аукционная документация содержит требования к товарам, которые ведут к ограничению числа участников размещения заказа; части 1 статьи 17 Закона №135-ФЗ, если формулировки, используемые в аукционной документации, ограничивают число участников торгов и, тем самым, ведут к ограничению конкуренции.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b/>
                <w:color w:val="333333"/>
                <w:sz w:val="20"/>
                <w:szCs w:val="20"/>
              </w:rPr>
              <w:t>4. Примеры технических спецификаций, которые нарушают законы и ведут к ограничению конкуренции.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В данном разделе приведено несколько примеров дискриминационных технических спецификаций, которые приводят или могут привести к ограничению конкуренции и, следовательно, и влекут привлечение к ответственности за их установление (в данном документе приведен лишь неполный список возможных спецификаций, нарушающих конкуренцию).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  <w:lang w:val="en-US"/>
              </w:rPr>
              <w:t>I</w:t>
            </w: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. Включение в техническую спецификацию указания на товарный знак определенного разработчика микропроцессоров и изложение специфических технических характеристик данного микропроцессора с сопровождением слов «или эквивалент».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Пример спецификации: Процессор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Intel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или эквивалент, количество ядер – не менее 2, тактовая частота – не менее 2,93 Гц, не менее 4-х процессорных потоков, Тепловыделение (TDP) – не более 78 Ватт, Технология 32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nm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, кэш-память первого уровня </w:t>
            </w:r>
            <w:proofErr w:type="gram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( </w:t>
            </w:r>
            <w:proofErr w:type="gram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L1) – 32 КБ для каждого ядра, кэш-память второго уровня ( L2) – 256 КБ для каждого ядра, кэш-память третьего уровня L3 – 4 МБ для всех ядер, встроенный графический контроллер.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В указанном примере слова «или эквивалент» означают, что участник аукциона вправе предложить микропроцессор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Intel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с аналогичными или более высокими техническими характеристиками. Микропроцессоры AMD, как правило, не полностью соответствуют </w:t>
            </w: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lastRenderedPageBreak/>
              <w:t xml:space="preserve">технологическим характеристикам микропроцессоров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Intel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. Однако общий уровень производительности и стоимость сопоставимых предложений компании AMD обычно соответствуют стандартам, установленным для указанной продукции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Intel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. Таким образом, указанная техническая спецификация подразумевает поставку персональных компьютеров, работающих на базе микропроцессоров, разработчиком которых является одна компания (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Intel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). Микропроцессоры других разработчиков исключаются с помощью дискриминационных формулировок, описывающих параметры одного конкретного процессора.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Исключение микропроцессоров AMD из рассмотрения его в качестве товара, подлежащего к поставке, вследствие отсутствия аналогичных технических характеристик, нарушает Закон № 135-ФЗ (запрещающий совершать в ходе торгов действия, которые ведут или могут привести к недопущению, ограничению или устранению конкуренции), что является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контрпродуктивным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действием в отношении поиска заказчиком наиболее выгодных и высокотехнологичных решений для закупки.</w:t>
            </w:r>
            <w:proofErr w:type="gramEnd"/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proofErr w:type="gram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Таким образом, установление в документации о торгах указанной технической спецификации является нарушением требований части 3.1 статьи 34 Закона №94-ФЗ и части 1 статьи 17 Закона № 135-ФЗ, запрещающей совершать в ходе торгов действия, которые ведут или могут привести к ограничению или устранению конкуренции., что влечет выдачу заказчику предписания об устранении нарушений путем внесения изменений в документацию о торгах, а также привлечение</w:t>
            </w:r>
            <w:proofErr w:type="gram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виновных лиц к ответственности в соответствии с действующим законодательством.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  <w:lang w:val="en-US"/>
              </w:rPr>
              <w:t>II</w:t>
            </w: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. Включение в техническую спецификацию определённых технических требований для микропроцессоров без упоминания товарного знака, с сопровождением словами «или эквивалент»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b/>
                <w:i/>
                <w:color w:val="333333"/>
                <w:sz w:val="20"/>
                <w:szCs w:val="20"/>
              </w:rPr>
              <w:t>Пример спецификации:</w:t>
            </w: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Двухъядерный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процессор с разъемом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Сокет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775 (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Socket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775) или эквивалент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Микропроцессоры с разъемом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Socket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775 производит исключительно компания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Intel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. Для того чтобы считаться эквивалентом, процессоры AMD (либо любого другого разработчика) должны иметь такие же разъемы и типы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чипсетов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. Однако ни один процессор, разработанный AMD (либо любым другим разработчиком), не может отвечать данным требованиям, хотя и существуют процессоры AMD, которые обеспечивают аналогичные и даже лучшие функциональные качества, нежели изначально запрашиваемые в аукционной документации.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Более того, в ответ на запрос ФАС России, Всероссийский научно-исследовательский институт проблем вычислительной техники и информации подготовил экспертное заключение, подтверждающее, что разъем центрального процессора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Socket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775, разработанный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Intel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, не совместим с процессорами других разработчиков.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Так как невозможно поставить процессор AMD, совместимый с разъемом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Socket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775, указанная техническая спецификация заведомо включает в себя требование к поставке компьютеров на базе процессоров только одного разработчика (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Intel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).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Таким образом, данная спецификация нарушает часть 3 статьи 34 Закона № 94-ФЗ1 , поскольку технические требования не включают слова «или эквивалент», благоприятствуя одному из разработчиков микропроцессоров. Данная спецификация также нарушает требования Закона № 135-ФЗ в отношен</w:t>
            </w:r>
            <w:proofErr w:type="gram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ии ау</w:t>
            </w:r>
            <w:proofErr w:type="gram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кциона, которые установлены частью 1 статьи 17 Закона № 135-ФЗ (запрещает совершать в ходе торгов действия, которые ведут или могут привести к ограничению или устранению конкуренции). Следовательно, установление данной и схожей с ней спецификации нарушает антимонопольное законодательства и законодательство о размещении заказов и влечет выдачу заказчику предписания об устранении нарушений путем внесения изменений в документацию о торгах, а также привлечение виновных лиц к ответственности в соответствии с действующим законодательством.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b/>
                <w:color w:val="333333"/>
                <w:sz w:val="20"/>
                <w:szCs w:val="20"/>
              </w:rPr>
              <w:t xml:space="preserve">5. Заключение 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Описанные выше примеры наглядно показывают, как при определенном использовании наименований товарных знаков, слов «или эквивалент» без указания параметров </w:t>
            </w: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lastRenderedPageBreak/>
              <w:t>эквивалентности, а также при использовании технических особенностей для описания минимального уровня производительности могут быть нарушены нормы российского законодательства.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ind w:firstLine="567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Каждый из приведенных выше примеров противоречит положениям законодательства Российской Федерации о размещении заказов и антимонопольным требованиям, предусмотренным частью 1 статьи 17 Закона № 135-ФЗ, запрещающим совершать в ходе торгов действия, которые ведут или могут привести к ограничению или устранению конкуренции. Во всех приведенных примерах конкуренция между AMD, </w:t>
            </w:r>
            <w:proofErr w:type="spell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Intel</w:t>
            </w:r>
            <w:proofErr w:type="spell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или другими разработчиками микропроцессоров была устранена при помощи использования спецификаций, которые были направлены на устранение возможности выбора микропроцессоров, производимых/разработанных различными компаниями.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_____________________________</w:t>
            </w:r>
          </w:p>
          <w:p w:rsidR="00A331C5" w:rsidRPr="00A331C5" w:rsidRDefault="00A331C5" w:rsidP="00A331C5">
            <w:pPr>
              <w:widowControl w:val="0"/>
              <w:adjustRightInd w:val="0"/>
              <w:spacing w:before="100" w:beforeAutospacing="1" w:after="0" w:line="240" w:lineRule="auto"/>
              <w:jc w:val="both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  <w:proofErr w:type="gramStart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В</w:t>
            </w:r>
            <w:proofErr w:type="gramEnd"/>
            <w:r w:rsidRPr="00A331C5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 xml:space="preserve"> соответствии с частью 3 статьи 34 Закона №94-ФЗ, если размещение заказов имеет форму аукциона, документация об аукционе может содержать указание на товарный знак, которые должны сопровождаться словами «или эквивалент».</w:t>
            </w:r>
          </w:p>
          <w:p w:rsidR="00A331C5" w:rsidRPr="00A331C5" w:rsidRDefault="00A331C5" w:rsidP="00A331C5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A331C5">
              <w:rPr>
                <w:rFonts w:ascii="Arial" w:eastAsia="Times New Roman" w:hAnsi="Arial" w:cs="Arial"/>
                <w:i/>
                <w:color w:val="333333"/>
                <w:sz w:val="20"/>
                <w:szCs w:val="20"/>
                <w:u w:val="single"/>
              </w:rPr>
              <w:t xml:space="preserve">Ссылка на источник: </w:t>
            </w:r>
            <w:hyperlink r:id="rId6" w:history="1">
              <w:r w:rsidRPr="00A331C5">
                <w:rPr>
                  <w:rFonts w:ascii="Arial" w:eastAsia="Times New Roman" w:hAnsi="Arial" w:cs="Arial"/>
                  <w:i/>
                  <w:color w:val="0000FF"/>
                  <w:sz w:val="20"/>
                  <w:szCs w:val="20"/>
                  <w:u w:val="single"/>
                </w:rPr>
                <w:t>http://www.fas.gov.ru/clarifications/clarifications_30346.html</w:t>
              </w:r>
            </w:hyperlink>
          </w:p>
        </w:tc>
      </w:tr>
    </w:tbl>
    <w:p w:rsidR="009161DD" w:rsidRDefault="00A331C5">
      <w:r w:rsidRPr="00A331C5">
        <w:rPr>
          <w:rFonts w:ascii="Times New Roman" w:eastAsia="Times New Roman" w:hAnsi="Times New Roman" w:cs="Times New Roman"/>
          <w:sz w:val="24"/>
          <w:szCs w:val="24"/>
        </w:rPr>
        <w:lastRenderedPageBreak/>
        <w:t> </w:t>
      </w:r>
    </w:p>
    <w:sectPr w:rsidR="00916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31C5"/>
    <w:rsid w:val="009161DD"/>
    <w:rsid w:val="00A33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331C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331C5"/>
    <w:pPr>
      <w:spacing w:before="100" w:beforeAutospacing="1" w:after="100" w:afterAutospacing="1" w:line="240" w:lineRule="atLeast"/>
    </w:pPr>
    <w:rPr>
      <w:rFonts w:ascii="Arial" w:eastAsia="Times New Roman" w:hAnsi="Arial" w:cs="Arial"/>
      <w:color w:val="333333"/>
      <w:sz w:val="20"/>
      <w:szCs w:val="20"/>
    </w:rPr>
  </w:style>
  <w:style w:type="character" w:customStyle="1" w:styleId="articleseparator">
    <w:name w:val="article_separator"/>
    <w:basedOn w:val="a0"/>
    <w:rsid w:val="00A331C5"/>
    <w:rPr>
      <w:vanish w:val="0"/>
      <w:webHidden w:val="0"/>
      <w:specVanish w:val="0"/>
    </w:rPr>
  </w:style>
  <w:style w:type="character" w:styleId="a5">
    <w:name w:val="Strong"/>
    <w:basedOn w:val="a0"/>
    <w:uiPriority w:val="22"/>
    <w:qFormat/>
    <w:rsid w:val="00A331C5"/>
    <w:rPr>
      <w:b/>
      <w:bCs/>
    </w:rPr>
  </w:style>
  <w:style w:type="character" w:styleId="a6">
    <w:name w:val="Emphasis"/>
    <w:basedOn w:val="a0"/>
    <w:uiPriority w:val="20"/>
    <w:qFormat/>
    <w:rsid w:val="00A331C5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33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31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693546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as.gov.ru/clarifications/clarifications_30346.html" TargetMode="External"/><Relationship Id="rId5" Type="http://schemas.openxmlformats.org/officeDocument/2006/relationships/image" Target="media/image1.png"/><Relationship Id="rId4" Type="http://schemas.openxmlformats.org/officeDocument/2006/relationships/hyperlink" Target="http://www.fz94.ru/metodicheskie-rekomendacii/2011-10-13-10-51-06/pecha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1910</Words>
  <Characters>10893</Characters>
  <Application>Microsoft Office Word</Application>
  <DocSecurity>0</DocSecurity>
  <Lines>90</Lines>
  <Paragraphs>25</Paragraphs>
  <ScaleCrop>false</ScaleCrop>
  <Company>Microsoft</Company>
  <LinksUpToDate>false</LinksUpToDate>
  <CharactersWithSpaces>12778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2013-12-04T07:42:00Z</dcterms:created>
  <dcterms:modified xsi:type="dcterms:W3CDTF">2013-12-04T07:42:00Z</dcterms:modified>
</cp:coreProperties>
</file>