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tbl>
      <w:tblPr>
        <w:tblOverlap w:val="never"/>
        <w:tblLayout w:type="fixed"/>
        <w:jc w:val="left"/>
      </w:tblPr>
      <w:tblGrid>
        <w:gridCol w:w="563"/>
        <w:gridCol w:w="2235"/>
        <w:gridCol w:w="5595"/>
      </w:tblGrid>
      <w:tr>
        <w:trPr>
          <w:trHeight w:val="24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3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60" w:lineRule="exact"/>
              <w:ind w:left="220" w:right="0" w:firstLine="0"/>
            </w:pPr>
            <w:r>
              <w:rPr>
                <w:rStyle w:val="CharStyle5"/>
              </w:rPr>
              <w:t>№</w:t>
            </w:r>
          </w:p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60" w:lineRule="exact"/>
              <w:ind w:left="220" w:right="0" w:firstLine="0"/>
            </w:pPr>
            <w:r>
              <w:rPr>
                <w:rStyle w:val="CharStyle5"/>
                <w:lang w:val="en-US" w:eastAsia="en-US" w:bidi="en-US"/>
              </w:rPr>
              <w:t>n/n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Показатели, используемые для определении соответствия потребности заказчика и эквивалентности товара (материала), предлагаемого к использованию при выполнении работ, максимальные и (или) минимальные значения таких показателей, а также показатели, значения которых не могут изменяться</w:t>
            </w:r>
          </w:p>
        </w:tc>
      </w:tr>
      <w:tr>
        <w:trPr>
          <w:trHeight w:val="23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5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Двухкомпонентный состав должен быть на базе полиуретанов для устройства антибактерицидных наливных высокопрочных полов. Состав должен содержать в своем составе фунгицидные добавки, которые должны подходить для использования для предотвращения разрушения ПУ под воздействием грибков.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бактерий и водорослей, а тек же состав должен придавать</w:t>
            </w:r>
          </w:p>
        </w:tc>
      </w:tr>
      <w:tr>
        <w:trPr>
          <w:trHeight w:val="49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поверхности материала антнбактерицидный эффект. Физико- механические свойства: Содержание сухого вещества. %: нс более</w:t>
            </w:r>
          </w:p>
        </w:tc>
      </w:tr>
      <w:tr>
        <w:trPr>
          <w:trHeight w:val="1253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20" w:right="0" w:firstLine="0"/>
            </w:pPr>
            <w:r>
              <w:rPr>
                <w:rStyle w:val="CharStyle5"/>
                <w:lang w:val="en-US" w:eastAsia="en-US" w:bidi="en-US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 xml:space="preserve">Двух ком пояентн </w:t>
            </w:r>
            <w:r>
              <w:rPr>
                <w:rStyle w:val="CharStyle6"/>
              </w:rPr>
              <w:t xml:space="preserve">Ы </w:t>
            </w:r>
            <w:r>
              <w:rPr>
                <w:rStyle w:val="CharStyle5"/>
              </w:rPr>
              <w:t>И полиуретановый состав для полов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100. Плотность состава. кгУм\ 1300-1350. Соотношение компонентов но весу, не менее: 4/1. Время отверждения не более 12 часов. Время полного отверждения покрытия нс более 48 часов. Прочность на разрыв должна быть более 15 МПа. Относительное удлинение при разрыве. %. не менее 70.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Сопротивление абразивному износу, мкм: 80-90. Твердость (но</w:t>
            </w:r>
          </w:p>
        </w:tc>
      </w:tr>
      <w:tr>
        <w:trPr>
          <w:trHeight w:val="97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Шор А): более 95. Адгезия к бетону, МПа, не менее: 5. Готовые покрытия из состава после отверждения нс должны оказывать никакого вредного воздействия на здоровье человека и окружающую среду. Материал должен обеспечивать</w:t>
            </w:r>
          </w:p>
        </w:tc>
      </w:tr>
      <w:tr>
        <w:trPr>
          <w:trHeight w:val="27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растскасмость, способствующую созданию идеально гладкого</w:t>
            </w:r>
          </w:p>
        </w:tc>
      </w:tr>
      <w:tr>
        <w:trPr>
          <w:trHeight w:val="118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покрытия без каких-либо швов, трещин или пор. Материал должен поставляться в ведрах весом нс менее 25 кг. Прочность двух компонентного полиуретанового состава для полов на разрыв должна быть менее 183.55 кгс/см’.</w:t>
            </w:r>
          </w:p>
        </w:tc>
      </w:tr>
      <w:tr>
        <w:trPr>
          <w:trHeight w:val="7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Материал должен бьпъ предназначен для окраски оштукатуренных. бетонных. кирпичных. гнисокартонных. зашпатлевашшх стен и потолков в сухих помещениях, а также</w:t>
            </w:r>
          </w:p>
        </w:tc>
      </w:tr>
      <w:tr>
        <w:trPr>
          <w:trHeight w:val="75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</w:tcBorders>
            <w:vAlign w:val="center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5" w:lineRule="exact"/>
              <w:ind w:left="0" w:right="0" w:firstLine="0"/>
            </w:pPr>
            <w:r>
              <w:rPr>
                <w:rStyle w:val="CharStyle5"/>
              </w:rPr>
              <w:t>Пол ивннилацета'тны й водоэмульсионный состав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обоев, древесно-стружечных и древес но-волокннстых плит. Материал должен быть латексный на основе акрилового сополимера. Материал должен наноситься валиком, кистью.</w:t>
            </w:r>
          </w:p>
        </w:tc>
      </w:tr>
      <w:tr>
        <w:trPr>
          <w:trHeight w:val="22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8392" w:h="11467" w:wrap="none" w:vAnchor="page" w:hAnchor="page" w:x="4" w:y="215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распылением. Класс материала А/С. Степень блеска матовая иди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</w:tcBorders>
            <w:vAlign w:val="center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20" w:right="0" w:firstLine="0"/>
            </w:pPr>
            <w:r>
              <w:rPr>
                <w:rStyle w:val="CharStyle5"/>
                <w:lang w:val="en-US" w:eastAsia="en-US" w:bidi="en-US"/>
              </w:rPr>
              <w:t>2</w:t>
            </w: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8392" w:h="11467" w:wrap="none" w:vAnchor="page" w:hAnchor="page" w:x="4" w:y="215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глянцевая или полуматовая. Растворителем данного материала</w:t>
            </w:r>
          </w:p>
        </w:tc>
      </w:tr>
      <w:tr>
        <w:trPr>
          <w:trHeight w:val="77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8392" w:h="11467" w:wrap="none" w:vAnchor="page" w:hAnchor="page" w:x="4" w:y="215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8" w:lineRule="exact"/>
              <w:ind w:left="0" w:right="0" w:firstLine="0"/>
            </w:pPr>
            <w:r>
              <w:rPr>
                <w:rStyle w:val="CharStyle5"/>
              </w:rPr>
              <w:t>должна быть вода, но должна присутствовать стойкость к мытью. Материал должен быть быстросохнущим. Цвет материала должен быть белый. Расход на 1 слой: 10 12 м</w:t>
            </w:r>
            <w:r>
              <w:rPr>
                <w:rStyle w:val="CharStyle5"/>
                <w:vertAlign w:val="superscript"/>
              </w:rPr>
              <w:t>2</w:t>
            </w:r>
            <w:r>
              <w:rPr>
                <w:rStyle w:val="CharStyle5"/>
              </w:rPr>
              <w:t>/л на окрашенную</w:t>
            </w:r>
          </w:p>
        </w:tc>
      </w:tr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60" w:lineRule="exact"/>
              <w:ind w:left="0" w:right="0" w:firstLine="0"/>
            </w:pPr>
            <w:r>
              <w:rPr>
                <w:rStyle w:val="CharStyle5"/>
              </w:rPr>
              <w:t>поверхность; 8-10 м’/л на зашияглеванную поверхность: 5-7 М'/л</w:t>
            </w:r>
          </w:p>
        </w:tc>
      </w:tr>
      <w:tr>
        <w:trPr>
          <w:trHeight w:val="638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8392" w:h="11467" w:wrap="none" w:vAnchor="page" w:hAnchor="page" w:x="4" w:y="2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3"/>
              <w:framePr w:w="8392" w:h="11467" w:wrap="none" w:vAnchor="page" w:hAnchor="page" w:x="4" w:y="2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5" w:lineRule="exact"/>
              <w:ind w:left="0" w:right="0" w:firstLine="0"/>
            </w:pPr>
            <w:r>
              <w:rPr>
                <w:rStyle w:val="CharStyle5"/>
              </w:rPr>
              <w:t>на бетонную и оштукатуренную поверхность. Плотность не менее 1.3 кг/л. Упаковка нс мснсс 2.7 л.</w:t>
            </w:r>
          </w:p>
        </w:tc>
      </w:tr>
    </w:tbl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8400" w:h="1190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 + 8 pt"/>
    <w:basedOn w:val="CharStyle4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6">
    <w:name w:val="Основной текст (2) + Courier New,7 pt"/>
    <w:basedOn w:val="CharStyle4"/>
    <w:rPr>
      <w:lang w:val="ru-RU" w:eastAsia="ru-RU" w:bidi="ru-RU"/>
      <w:sz w:val="14"/>
      <w:szCs w:val="14"/>
      <w:rFonts w:ascii="Courier New" w:eastAsia="Courier New" w:hAnsi="Courier New" w:cs="Courier New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