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Заявка на участие в открытом аукционе в электронной форме на право заключения муниципального контракта на выполнение работ по капитальному ремонту общего имущества в многоквартирных домах, все или часть помещений в которых отнесены к жилым помещениям в общежитиях  в Железнодорожном районе г. Красноярска у субъектов малого предпринимательства, социально ориентированных некоммерческих организаций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Часть 1)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Настоящим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КрасСтройКом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далее Исполнитель, сведения о котором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указаны во второй части заявки на участие в электронном аукционе, выражает согласие на поставку товаров, выполнение работ, оказание услуг, соответствующих требованиям документации об электронном аукционе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право заключения муниципального контракта на выполнение работ по капитальному ремонту общего имущества в многоквартирных домах, все или часть помещений в которых отнесены к жилым помещениям в общежитиях  в Железнодорожном районе г. Красноярска у субъектов малого предпринимательства, социально ориентированных некоммерческих организаций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в том числе на использование товара, указание, на товарный знак, которого содержится в  указанной документации об электронном аукционе.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Изучив извещение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 0119300019814002759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опубликованное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24.10.2014 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и документацию о проведении электронного аукциона и принимая установленные в них требования и условия организации и проведения электронного аукциона, мы согласны участвовать в электронном аукционе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на право заключения муниципального контракта на выполнение работ по капитальному ремонту общего имущества в многоквартирных домах, все или часть помещений в которых отнесены к жилым помещениям в общежитиях  в Железнодорожном районе г. Красноярска у субъектов малого предпринимательства, социально ориентированных некоммерческих организаций,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документацией об аукционе и, в случае признания нас победителем, поставить товар, выполнить работы, оказать услуги, в соответствии с условиями и требованиями, установленными в документации об аукционе, по цене, которую мы предложим на аукционе (или в случае признания нас единственным участником аукциона - по начальной (максимальной) цене муниципального контракта, указанной в документации об аукционе, или по согласованной с нами цене муниципального контракта и не превышающей начальной (максимальной) цены муниципального контракта.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ознакомлены с материалами, содержащимися в документации об аукционе, влияющими на цену муниципального контракта.</w:t>
      </w:r>
    </w:p>
    <w:p>
      <w:pPr>
        <w:tabs>
          <w:tab w:val="left" w:pos="0" w:leader="none"/>
          <w:tab w:val="left" w:pos="8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включает в себя расходы, связанные с выполнением работ, предусмотренных настоящим контрактом, в полном объеме, транспортные и командировочные расходы, страхование, уплату таможенных пошлин, налогов, сборов и других обязательных платежей, а также иные расходы, связанные с выполнением Исполнителем своих обязательств по настоящему контракту.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определяется на весь срок исполнения контракта, является твердой и не может изменяться в ходе его исполнения, за исключением случаев, предусмотренных действующим законодательством.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Настоящей заявкой гарантируем достоверность представленной нами в заявке информации и подтверждаем право заказчика, не противоречащее требованию формирования равных для всех участников размещения заказа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сведениями.</w:t>
      </w:r>
    </w:p>
    <w:p>
      <w:pPr>
        <w:tabs>
          <w:tab w:val="left" w:pos="0" w:leader="none"/>
          <w:tab w:val="left" w:pos="1080" w:leader="none"/>
          <w:tab w:val="left" w:pos="14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случае нашей победы на электронном аукционе, мы берем на себя обязательство подписать  государственный контракт в течение срока, установленного документацией об аукционе.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 используемых материалов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73"/>
        <w:gridCol w:w="3321"/>
        <w:gridCol w:w="4111"/>
        <w:gridCol w:w="2976"/>
      </w:tblGrid>
      <w:tr>
        <w:trPr>
          <w:trHeight w:val="37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пп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товара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Характеристики товара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Показатели товара (максимальные и (или) минимальные значения таких показателей, либо показатели, значения которых не могут изменяться), установленные заказчиком</w:t>
            </w:r>
          </w:p>
        </w:tc>
      </w:tr>
      <w:tr>
        <w:trPr>
          <w:trHeight w:val="25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40" w:hRule="auto"/>
          <w:jc w:val="left"/>
        </w:trPr>
        <w:tc>
          <w:tcPr>
            <w:tcW w:w="473" w:type="dxa"/>
            <w:vMerge w:val="restart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</w:t>
            </w:r>
          </w:p>
        </w:tc>
        <w:tc>
          <w:tcPr>
            <w:tcW w:w="332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Трубы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Волгопромкомплект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г.Волжский</w:t>
            </w:r>
          </w:p>
        </w:tc>
        <w:tc>
          <w:tcPr>
            <w:tcW w:w="411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водогазопроводные неоцинкованные с резьбой для систем отопления</w:t>
            </w: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576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15 мм; </w:t>
            </w:r>
          </w:p>
        </w:tc>
      </w:tr>
      <w:tr>
        <w:trPr>
          <w:trHeight w:val="13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20 мм;</w:t>
            </w:r>
          </w:p>
        </w:tc>
      </w:tr>
      <w:tr>
        <w:trPr>
          <w:trHeight w:val="13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25 мм;</w:t>
            </w:r>
          </w:p>
        </w:tc>
      </w:tr>
      <w:tr>
        <w:trPr>
          <w:trHeight w:val="13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32 мм;</w:t>
            </w:r>
          </w:p>
        </w:tc>
      </w:tr>
      <w:tr>
        <w:trPr>
          <w:trHeight w:val="13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40 мм;</w:t>
            </w:r>
          </w:p>
        </w:tc>
      </w:tr>
      <w:tr>
        <w:trPr>
          <w:trHeight w:val="13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Условный проход 50 мм.</w:t>
            </w:r>
          </w:p>
        </w:tc>
      </w:tr>
      <w:tr>
        <w:trPr>
          <w:trHeight w:val="184" w:hRule="auto"/>
          <w:jc w:val="left"/>
        </w:trPr>
        <w:tc>
          <w:tcPr>
            <w:tcW w:w="473" w:type="dxa"/>
            <w:vMerge w:val="restart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</w:t>
            </w:r>
          </w:p>
        </w:tc>
        <w:tc>
          <w:tcPr>
            <w:tcW w:w="332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Трубы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Волгопромкомплект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г.Волжский</w:t>
            </w:r>
          </w:p>
        </w:tc>
        <w:tc>
          <w:tcPr>
            <w:tcW w:w="411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электросварные </w:t>
            </w: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стенки 3,5 мм</w:t>
            </w:r>
          </w:p>
        </w:tc>
      </w:tr>
      <w:tr>
        <w:trPr>
          <w:trHeight w:val="201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Наружный диаметр 57 мм,</w:t>
            </w:r>
          </w:p>
        </w:tc>
      </w:tr>
      <w:tr>
        <w:trPr>
          <w:trHeight w:val="234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Наружный диаметр 76 мм.</w:t>
            </w:r>
          </w:p>
        </w:tc>
      </w:tr>
      <w:tr>
        <w:trPr>
          <w:trHeight w:val="255" w:hRule="auto"/>
          <w:jc w:val="left"/>
        </w:trPr>
        <w:tc>
          <w:tcPr>
            <w:tcW w:w="473" w:type="dxa"/>
            <w:vMerge w:val="restart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</w:t>
            </w:r>
          </w:p>
        </w:tc>
        <w:tc>
          <w:tcPr>
            <w:tcW w:w="332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Трубы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Волгопромкомплект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г.Волжский</w:t>
            </w:r>
          </w:p>
        </w:tc>
        <w:tc>
          <w:tcPr>
            <w:tcW w:w="4111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электросварные </w:t>
            </w: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стенки 4 мм</w:t>
            </w:r>
          </w:p>
        </w:tc>
      </w:tr>
      <w:tr>
        <w:trPr>
          <w:trHeight w:val="25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Наружный диаметр 108 мм.</w:t>
            </w:r>
          </w:p>
        </w:tc>
      </w:tr>
      <w:tr>
        <w:trPr>
          <w:trHeight w:val="197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4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Фланцы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ООО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Энергомеханический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Завод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Промэнерго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Россия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г</w:t>
            </w:r>
            <w:r>
              <w:rPr>
                <w:rFonts w:ascii="ars4Regular" w:hAnsi="ars4Regular" w:cs="ars4Regular" w:eastAsia="ars4Regular"/>
                <w:color w:val="auto"/>
                <w:spacing w:val="0"/>
                <w:position w:val="0"/>
                <w:sz w:val="23"/>
                <w:shd w:fill="FFFFFF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3"/>
                <w:shd w:fill="FFFFFF" w:val="clear"/>
              </w:rPr>
              <w:t xml:space="preserve">Покров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плоские приварные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 50 мм;</w:t>
            </w:r>
          </w:p>
        </w:tc>
      </w:tr>
      <w:tr>
        <w:trPr>
          <w:trHeight w:val="273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 80 мм;</w:t>
            </w:r>
          </w:p>
        </w:tc>
      </w:tr>
      <w:tr>
        <w:trPr>
          <w:trHeight w:val="273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 100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5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Клапан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Благовещенский арматурный завод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г.Благовещенск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Обратный поворотный горизонтальный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 50мм</w:t>
            </w:r>
          </w:p>
        </w:tc>
      </w:tr>
      <w:tr>
        <w:trPr>
          <w:trHeight w:val="346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6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Краны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Арматекс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г.Самара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шаровые под приварку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Диаметр-15мм;</w:t>
            </w:r>
          </w:p>
        </w:tc>
      </w:tr>
      <w:tr>
        <w:trPr>
          <w:trHeight w:val="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Диаметр-20мм;</w:t>
            </w:r>
          </w:p>
        </w:tc>
      </w:tr>
      <w:tr>
        <w:trPr>
          <w:trHeight w:val="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Диаметр-25мм;</w:t>
            </w:r>
          </w:p>
        </w:tc>
      </w:tr>
      <w:tr>
        <w:trPr>
          <w:trHeight w:val="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Диаметр-40мм;</w:t>
            </w:r>
          </w:p>
        </w:tc>
      </w:tr>
      <w:tr>
        <w:trPr>
          <w:trHeight w:val="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Диаметр-50мм</w:t>
            </w:r>
          </w:p>
        </w:tc>
      </w:tr>
      <w:tr>
        <w:trPr>
          <w:trHeight w:val="562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7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Краны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Арматекс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г.Самара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шаровые фланцевые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Диаметр-50мм;</w:t>
            </w:r>
          </w:p>
        </w:tc>
      </w:tr>
      <w:tr>
        <w:trPr>
          <w:trHeight w:val="12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Диаметр-80мм;</w:t>
            </w:r>
          </w:p>
        </w:tc>
      </w:tr>
      <w:tr>
        <w:trPr>
          <w:trHeight w:val="12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Диаметр-100мм</w:t>
            </w:r>
          </w:p>
        </w:tc>
      </w:tr>
      <w:tr>
        <w:trPr>
          <w:trHeight w:val="52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8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Краны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Арматекс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г.Самара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шаровые муфтовые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Диаметр-25мм</w:t>
            </w:r>
          </w:p>
        </w:tc>
      </w:tr>
      <w:tr>
        <w:trPr>
          <w:trHeight w:val="382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9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Утеплитель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ТехноНИКОЛЬ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г.Москва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Кашированный алюминиевой фольгой 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Толщиной 50мм</w:t>
            </w:r>
          </w:p>
        </w:tc>
      </w:tr>
      <w:tr>
        <w:trPr>
          <w:trHeight w:val="177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10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Трубки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ТехноНИКОЛЬ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г.Москва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Из вспененного полиэтилена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9 мм</w:t>
            </w:r>
          </w:p>
        </w:tc>
      </w:tr>
      <w:tr>
        <w:trPr>
          <w:trHeight w:val="17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22 мм;</w:t>
            </w:r>
          </w:p>
        </w:tc>
      </w:tr>
      <w:tr>
        <w:trPr>
          <w:trHeight w:val="17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30 мм;</w:t>
            </w:r>
          </w:p>
        </w:tc>
      </w:tr>
      <w:tr>
        <w:trPr>
          <w:trHeight w:val="17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45 мм;</w:t>
            </w:r>
          </w:p>
        </w:tc>
      </w:tr>
      <w:tr>
        <w:trPr>
          <w:trHeight w:val="177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48 мм.</w:t>
            </w:r>
          </w:p>
        </w:tc>
      </w:tr>
      <w:tr>
        <w:trPr>
          <w:trHeight w:val="198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11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Трубки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ЗАО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ТехноНИКОЛЬ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г.Москва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Из вспененного полиэтилена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13 мм </w:t>
            </w:r>
          </w:p>
        </w:tc>
      </w:tr>
      <w:tr>
        <w:trPr>
          <w:trHeight w:val="196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60 мм;</w:t>
            </w:r>
          </w:p>
        </w:tc>
      </w:tr>
      <w:tr>
        <w:trPr>
          <w:trHeight w:val="196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внутренний диаметр 76 мм.</w:t>
            </w:r>
          </w:p>
        </w:tc>
      </w:tr>
      <w:tr>
        <w:trPr>
          <w:trHeight w:val="179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12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Кабель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Сибкабель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г.Томск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Силовой с  изоляцией из поливинилхлоридного пластификата  ВВГ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Номинальное напряжение 0,66Кв,</w:t>
            </w:r>
          </w:p>
        </w:tc>
      </w:tr>
      <w:tr>
        <w:trPr>
          <w:trHeight w:val="158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сечение 3х2,5 мм2</w:t>
            </w:r>
          </w:p>
        </w:tc>
      </w:tr>
      <w:tr>
        <w:trPr>
          <w:trHeight w:val="308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13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Выключатели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Уральская электротехника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Россия, г.Медногорск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Автоматические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ВА16-25</w:t>
            </w:r>
          </w:p>
        </w:tc>
      </w:tr>
      <w:tr>
        <w:trPr>
          <w:trHeight w:val="190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14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Емкость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ПОЛЕКС ПЛАСТ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г.Москва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Пластиковая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Объем 500 л</w:t>
            </w:r>
          </w:p>
        </w:tc>
      </w:tr>
      <w:tr>
        <w:trPr>
          <w:trHeight w:val="179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15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Уголок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Мечел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г.Москва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Стальной равнополочный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 полки 40 мм</w:t>
            </w:r>
          </w:p>
        </w:tc>
      </w:tr>
      <w:tr>
        <w:trPr>
          <w:trHeight w:val="411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Насос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Грундфос Истра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Россия, г.Истра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Канализационный погружной фекальный с режущим механизмом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Мощность 1,2 кВт </w:t>
            </w:r>
          </w:p>
        </w:tc>
      </w:tr>
      <w:tr>
        <w:trPr>
          <w:trHeight w:val="276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кабелем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 10 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17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Плитки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Производитель: 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Стройфарфор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Россия, г.Шахты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Керамические глазурованные для внутренней облицовки стен без завала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длина 200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ширина 200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Керамические для полов неглазурованные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длина 300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ширина 300 мм</w:t>
            </w:r>
          </w:p>
        </w:tc>
      </w:tr>
      <w:tr>
        <w:trPr>
          <w:trHeight w:val="144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Краска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ОАО Объединение "Ярославские краски", Россия, г. Ярославль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марка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МА-25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19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Мастика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ООО НК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ТрансГазРемонт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г.Екатеринбург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Битумная кровельная горячая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20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Шпатлевка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Геркулес-Сибирь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г.Новосибирск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Масляно-клеевая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21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Клей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Геркулес-Сибирь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г.Новосибирск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облицовочный водостойкий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90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22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Краска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ОАО Объединение "Ярославские краски", Россия, г. Ярославль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Водно-дисперсионная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90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23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Бачки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Завод Универсал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г.Новокузнецк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Смывные высокорасполагаемые с арматурой к ним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402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 200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высота 240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24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Мойки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Завод Универсал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г.Новокузнецк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Стальные эмалированные с одной чашей на кронштейнах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500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 500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высота 198 мм </w:t>
            </w:r>
          </w:p>
        </w:tc>
      </w:tr>
      <w:tr>
        <w:trPr>
          <w:trHeight w:val="256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25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Двери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СП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Волховец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г.Санкт-Петербург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Деревянные входные с рамочными полотнами однопольные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ДН 21-10, </w:t>
            </w:r>
          </w:p>
        </w:tc>
      </w:tr>
      <w:tr>
        <w:trPr>
          <w:trHeight w:val="562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ДН 24-10,</w:t>
            </w:r>
          </w:p>
        </w:tc>
      </w:tr>
      <w:tr>
        <w:trPr>
          <w:trHeight w:val="128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26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Раствор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Вектор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Готовый, кладочный цементный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Марка  50;</w:t>
            </w:r>
          </w:p>
        </w:tc>
      </w:tr>
      <w:tr>
        <w:trPr>
          <w:trHeight w:val="126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Марка  150,</w:t>
            </w:r>
          </w:p>
        </w:tc>
      </w:tr>
      <w:tr>
        <w:trPr>
          <w:trHeight w:val="126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Марка  200</w:t>
            </w:r>
          </w:p>
        </w:tc>
      </w:tr>
      <w:tr>
        <w:trPr>
          <w:trHeight w:val="387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27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Смесь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Геркулес-Сибирь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Россия, г.Новосибирск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Строительная сухая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0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28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Кирпич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Вектор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Керамический одинарный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250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ширина120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65 мм </w:t>
            </w:r>
          </w:p>
        </w:tc>
      </w:tr>
      <w:tr>
        <w:trPr>
          <w:trHeight w:val="280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марка 100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29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Смеситель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Производитель: ОАО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 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Сантехприбор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Россия, г.Казань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для мойки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двухрукояточный, центральный, набортный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30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Унитаз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ОАО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Завод Универсал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г.Новокузнецк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Керамический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31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Листы и детали к ним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Комбинат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ВОЛНА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асбестоцементные волнистые 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Толщиной 7,5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32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Доска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КрасЛес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Обрезная 2 сорта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6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 150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75 мм 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Обрезная 3 сорта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6 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Ширина 150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75 мм 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33</w:t>
            </w:r>
          </w:p>
        </w:tc>
        <w:tc>
          <w:tcPr>
            <w:tcW w:w="332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Доска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КрасЛес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Необрезная 3 сорт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Длина 6 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25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32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2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1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Толщина 40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34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Плиты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ООО Красноярский завод минераловатных изделий "Минвата", Россия,                 г. Красноярск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теплоизоляционные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35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Люк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Литера-Холдинг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Металлический противопожарный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36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Зонты вентиляционных систем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РОСТОВСКИЙ ВОЗДУХОзаВОД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г.Ростов на Дону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круглые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Диаметр шахты 200 мм</w:t>
            </w:r>
          </w:p>
        </w:tc>
      </w:tr>
      <w:tr>
        <w:trPr>
          <w:trHeight w:val="385" w:hRule="auto"/>
          <w:jc w:val="left"/>
        </w:trPr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37</w:t>
            </w:r>
          </w:p>
        </w:tc>
        <w:tc>
          <w:tcPr>
            <w:tcW w:w="332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Сталь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Сибметаллсервис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Россия, г.Красноярск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Листовая оцинкованная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Толщиной 0,7 мм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Срок гарантии качества на выполняемые работы (за исключением случаев преднамеренного повреждения объекта со стороны третьих лиц) составляет – 2 года.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Гарантируем достоверность информации, содержащейся в документах и сведениях, находящихся в реестре аккредитованных на электронной торговой площадке участников размещения  заказа.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информация из Реестра аккредитованных на электронной площадке участников размещения заказа на дату и время окончания срока подачи будет направлена на рассмотрение в составе второй части заявки на участие в электронном аукционе.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Обязуемся, в случае заключения с нами контракта, поставить (выполнить, оказать) указанный выше предмет контракта в соответствии с требованиями  аукционной документации.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уклонения от заключения контракта, денежные средства в размере обеспечения заявки на участие  в электронном аукционе с нашего счета, открытого для проведения операций по обеспечению участия в электронных аукционах, будут переведены на счет Заказчика.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победы в аукционе при нашем уклонении от заключения контракта или при  расторжении с нами контракта по решению суда в связи существенным нарушением нами условий контракта, сведения о нас будут включены в реестр недобросовестных поставщиков. 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ЭЦП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