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DB9" w:rsidRPr="00247DB9" w:rsidRDefault="00247DB9" w:rsidP="00247DB9">
      <w:pPr>
        <w:shd w:val="clear" w:color="auto" w:fill="FFFFFF"/>
        <w:spacing w:after="255" w:line="240" w:lineRule="atLeast"/>
        <w:outlineLvl w:val="3"/>
        <w:rPr>
          <w:rFonts w:ascii="Arial" w:eastAsia="Times New Roman" w:hAnsi="Arial" w:cs="Arial"/>
          <w:b/>
          <w:bCs/>
          <w:color w:val="4D4D4D"/>
          <w:sz w:val="23"/>
          <w:szCs w:val="23"/>
        </w:rPr>
      </w:pPr>
      <w:proofErr w:type="gramStart"/>
      <w:r w:rsidRPr="00247DB9">
        <w:rPr>
          <w:rFonts w:ascii="Arial" w:eastAsia="Times New Roman" w:hAnsi="Arial" w:cs="Arial"/>
          <w:b/>
          <w:bCs/>
          <w:color w:val="4D4D4D"/>
          <w:sz w:val="23"/>
          <w:szCs w:val="23"/>
        </w:rPr>
        <w:t>Заказчиком, производящим закупку путем проведения электронного аукциона, было обнаружено расхождение между содержащимися в первой части заявки сведениями о товаре (соответствуют характеристикам предполагаемого к поставке товара) и информацией о товаре, размещенной на сайте производителя (не соответствует характеристикам предполагаемого к поставке товара).</w:t>
      </w:r>
      <w:proofErr w:type="gramEnd"/>
      <w:r w:rsidRPr="00247DB9">
        <w:rPr>
          <w:rFonts w:ascii="Arial" w:eastAsia="Times New Roman" w:hAnsi="Arial" w:cs="Arial"/>
          <w:b/>
          <w:bCs/>
          <w:color w:val="4D4D4D"/>
          <w:sz w:val="23"/>
          <w:szCs w:val="23"/>
        </w:rPr>
        <w:t xml:space="preserve"> Можно ли отклонить данную заявку по основаниям, предусмотренным п. 4 ст. 67 Федерального закона от 05.04.2013 N 44-ФЗ "О контрактной системе в сфере закупок товаров, работ, услуг для обеспечения государственных и муниципальных нужд"? Можно ли при отклонении данной заявки на участие в аукционе использовать информацию, полученную из Интернета (официального сайта производителя товара), для подтверждения несоответствия поставляемого товара техническому заданию?</w:t>
      </w:r>
    </w:p>
    <w:p w:rsidR="00247DB9" w:rsidRPr="00247DB9" w:rsidRDefault="00247DB9" w:rsidP="00247DB9">
      <w:pPr>
        <w:shd w:val="clear" w:color="auto" w:fill="FFFFFF"/>
        <w:spacing w:after="180" w:line="255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247DB9">
        <w:rPr>
          <w:rFonts w:ascii="Arial" w:eastAsia="Times New Roman" w:hAnsi="Arial" w:cs="Arial"/>
          <w:color w:val="000000"/>
          <w:sz w:val="21"/>
          <w:szCs w:val="21"/>
        </w:rPr>
        <w:t xml:space="preserve">25 июня 2014 </w:t>
      </w:r>
    </w:p>
    <w:p w:rsidR="00247DB9" w:rsidRPr="00247DB9" w:rsidRDefault="00247DB9" w:rsidP="00247DB9">
      <w:pPr>
        <w:shd w:val="clear" w:color="auto" w:fill="FFFFFF"/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247DB9">
        <w:rPr>
          <w:rFonts w:ascii="Arial" w:eastAsia="Times New Roman" w:hAnsi="Arial" w:cs="Arial"/>
          <w:color w:val="000000"/>
          <w:sz w:val="21"/>
          <w:szCs w:val="21"/>
        </w:rPr>
        <w:t xml:space="preserve">Действительно, согласно </w:t>
      </w:r>
      <w:hyperlink r:id="rId4" w:anchor="block_674" w:tgtFrame="_blank" w:history="1">
        <w:r w:rsidRPr="00247DB9">
          <w:rPr>
            <w:rFonts w:ascii="Arial" w:eastAsia="Times New Roman" w:hAnsi="Arial" w:cs="Arial"/>
            <w:color w:val="2060A4"/>
            <w:sz w:val="21"/>
          </w:rPr>
          <w:t>ч. 4 ст. 67</w:t>
        </w:r>
      </w:hyperlink>
      <w:r w:rsidRPr="00247DB9">
        <w:rPr>
          <w:rFonts w:ascii="Arial" w:eastAsia="Times New Roman" w:hAnsi="Arial" w:cs="Arial"/>
          <w:color w:val="000000"/>
          <w:sz w:val="21"/>
          <w:szCs w:val="21"/>
        </w:rPr>
        <w:t xml:space="preserve"> Федерального закона от 05.04.2013 N 44-ФЗ "О контрактной системе в сфере закупок товаров, работ, услуг для обеспечения государственных и муниципальных нужд" (далее - Закон N 44-ФЗ) участник электронного аукциона не допускается к участию в нем в случае:</w:t>
      </w:r>
    </w:p>
    <w:p w:rsidR="00247DB9" w:rsidRPr="00247DB9" w:rsidRDefault="00247DB9" w:rsidP="00247DB9">
      <w:pPr>
        <w:shd w:val="clear" w:color="auto" w:fill="FFFFFF"/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247DB9">
        <w:rPr>
          <w:rFonts w:ascii="Arial" w:eastAsia="Times New Roman" w:hAnsi="Arial" w:cs="Arial"/>
          <w:color w:val="000000"/>
          <w:sz w:val="21"/>
          <w:szCs w:val="21"/>
        </w:rPr>
        <w:t xml:space="preserve">1) </w:t>
      </w:r>
      <w:proofErr w:type="spellStart"/>
      <w:r w:rsidRPr="00247DB9">
        <w:rPr>
          <w:rFonts w:ascii="Arial" w:eastAsia="Times New Roman" w:hAnsi="Arial" w:cs="Arial"/>
          <w:color w:val="000000"/>
          <w:sz w:val="21"/>
          <w:szCs w:val="21"/>
        </w:rPr>
        <w:t>непредоставления</w:t>
      </w:r>
      <w:proofErr w:type="spellEnd"/>
      <w:r w:rsidRPr="00247DB9">
        <w:rPr>
          <w:rFonts w:ascii="Arial" w:eastAsia="Times New Roman" w:hAnsi="Arial" w:cs="Arial"/>
          <w:color w:val="000000"/>
          <w:sz w:val="21"/>
          <w:szCs w:val="21"/>
        </w:rPr>
        <w:t xml:space="preserve"> информации, предусмотренной </w:t>
      </w:r>
      <w:hyperlink r:id="rId5" w:anchor="block_663" w:tgtFrame="_blank" w:history="1">
        <w:proofErr w:type="gramStart"/>
        <w:r w:rsidRPr="00247DB9">
          <w:rPr>
            <w:rFonts w:ascii="Arial" w:eastAsia="Times New Roman" w:hAnsi="Arial" w:cs="Arial"/>
            <w:color w:val="2060A4"/>
            <w:sz w:val="21"/>
          </w:rPr>
          <w:t>ч</w:t>
        </w:r>
        <w:proofErr w:type="gramEnd"/>
        <w:r w:rsidRPr="00247DB9">
          <w:rPr>
            <w:rFonts w:ascii="Arial" w:eastAsia="Times New Roman" w:hAnsi="Arial" w:cs="Arial"/>
            <w:color w:val="2060A4"/>
            <w:sz w:val="21"/>
          </w:rPr>
          <w:t>. 3 ст. 66</w:t>
        </w:r>
      </w:hyperlink>
      <w:r w:rsidRPr="00247DB9">
        <w:rPr>
          <w:rFonts w:ascii="Arial" w:eastAsia="Times New Roman" w:hAnsi="Arial" w:cs="Arial"/>
          <w:color w:val="000000"/>
          <w:sz w:val="21"/>
          <w:szCs w:val="21"/>
        </w:rPr>
        <w:t xml:space="preserve"> Закона N 44-ФЗ, или предоставления недостоверной информации;</w:t>
      </w:r>
    </w:p>
    <w:p w:rsidR="00247DB9" w:rsidRPr="00247DB9" w:rsidRDefault="00247DB9" w:rsidP="00247DB9">
      <w:pPr>
        <w:shd w:val="clear" w:color="auto" w:fill="FFFFFF"/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247DB9">
        <w:rPr>
          <w:rFonts w:ascii="Arial" w:eastAsia="Times New Roman" w:hAnsi="Arial" w:cs="Arial"/>
          <w:color w:val="000000"/>
          <w:sz w:val="21"/>
          <w:szCs w:val="21"/>
        </w:rPr>
        <w:t xml:space="preserve">2) несоответствия информации, предусмотренной </w:t>
      </w:r>
      <w:hyperlink r:id="rId6" w:anchor="block_663" w:tgtFrame="_blank" w:history="1">
        <w:proofErr w:type="gramStart"/>
        <w:r w:rsidRPr="00247DB9">
          <w:rPr>
            <w:rFonts w:ascii="Arial" w:eastAsia="Times New Roman" w:hAnsi="Arial" w:cs="Arial"/>
            <w:color w:val="2060A4"/>
            <w:sz w:val="21"/>
          </w:rPr>
          <w:t>ч</w:t>
        </w:r>
        <w:proofErr w:type="gramEnd"/>
        <w:r w:rsidRPr="00247DB9">
          <w:rPr>
            <w:rFonts w:ascii="Arial" w:eastAsia="Times New Roman" w:hAnsi="Arial" w:cs="Arial"/>
            <w:color w:val="2060A4"/>
            <w:sz w:val="21"/>
          </w:rPr>
          <w:t>. 3 ст. 66</w:t>
        </w:r>
      </w:hyperlink>
      <w:r w:rsidRPr="00247DB9">
        <w:rPr>
          <w:rFonts w:ascii="Arial" w:eastAsia="Times New Roman" w:hAnsi="Arial" w:cs="Arial"/>
          <w:color w:val="000000"/>
          <w:sz w:val="21"/>
          <w:szCs w:val="21"/>
        </w:rPr>
        <w:t xml:space="preserve"> Закона N 44-ФЗ, требованиям документации о таком аукционе.</w:t>
      </w:r>
    </w:p>
    <w:p w:rsidR="00247DB9" w:rsidRPr="00247DB9" w:rsidRDefault="00247DB9" w:rsidP="00247DB9">
      <w:pPr>
        <w:shd w:val="clear" w:color="auto" w:fill="FFFFFF"/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247DB9">
        <w:rPr>
          <w:rFonts w:ascii="Arial" w:eastAsia="Times New Roman" w:hAnsi="Arial" w:cs="Arial"/>
          <w:color w:val="000000"/>
          <w:sz w:val="21"/>
          <w:szCs w:val="21"/>
        </w:rPr>
        <w:t xml:space="preserve">К информации, предусмотренной </w:t>
      </w:r>
      <w:hyperlink r:id="rId7" w:anchor="block_663" w:tgtFrame="_blank" w:history="1">
        <w:r w:rsidRPr="00247DB9">
          <w:rPr>
            <w:rFonts w:ascii="Arial" w:eastAsia="Times New Roman" w:hAnsi="Arial" w:cs="Arial"/>
            <w:color w:val="2060A4"/>
            <w:sz w:val="21"/>
          </w:rPr>
          <w:t>ч. 3 ст. 66</w:t>
        </w:r>
      </w:hyperlink>
      <w:r w:rsidRPr="00247DB9">
        <w:rPr>
          <w:rFonts w:ascii="Arial" w:eastAsia="Times New Roman" w:hAnsi="Arial" w:cs="Arial"/>
          <w:color w:val="000000"/>
          <w:sz w:val="21"/>
          <w:szCs w:val="21"/>
        </w:rPr>
        <w:t xml:space="preserve"> Закона N 44-ФЗ, </w:t>
      </w:r>
      <w:proofErr w:type="gramStart"/>
      <w:r w:rsidRPr="00247DB9">
        <w:rPr>
          <w:rFonts w:ascii="Arial" w:eastAsia="Times New Roman" w:hAnsi="Arial" w:cs="Arial"/>
          <w:color w:val="000000"/>
          <w:sz w:val="21"/>
          <w:szCs w:val="21"/>
        </w:rPr>
        <w:t>отнесены</w:t>
      </w:r>
      <w:proofErr w:type="gramEnd"/>
      <w:r w:rsidRPr="00247DB9">
        <w:rPr>
          <w:rFonts w:ascii="Arial" w:eastAsia="Times New Roman" w:hAnsi="Arial" w:cs="Arial"/>
          <w:color w:val="000000"/>
          <w:sz w:val="21"/>
          <w:szCs w:val="21"/>
        </w:rPr>
        <w:t xml:space="preserve"> в том числе конкретные показатели товара, соответствующие значениям, установленным документацией об электронном аукционе. Соответственно, если указанные в первой части заявки характеристики предлагаемого участником товара не соответствуют требованиям, установленным документацией, либо если содержащаяся в первой части заявки информация о товаре является недостоверной, заказчик вправе отказать такому участнику в участии в аукционе.</w:t>
      </w:r>
    </w:p>
    <w:p w:rsidR="00247DB9" w:rsidRPr="00247DB9" w:rsidRDefault="00247DB9" w:rsidP="00247DB9">
      <w:pPr>
        <w:shd w:val="clear" w:color="auto" w:fill="FFFFFF"/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</w:rPr>
      </w:pPr>
      <w:hyperlink r:id="rId8" w:tgtFrame="_blank" w:history="1">
        <w:r w:rsidRPr="00247DB9">
          <w:rPr>
            <w:rFonts w:ascii="Arial" w:eastAsia="Times New Roman" w:hAnsi="Arial" w:cs="Arial"/>
            <w:color w:val="2060A4"/>
            <w:sz w:val="21"/>
          </w:rPr>
          <w:t>Законом</w:t>
        </w:r>
      </w:hyperlink>
      <w:r w:rsidRPr="00247DB9">
        <w:rPr>
          <w:rFonts w:ascii="Arial" w:eastAsia="Times New Roman" w:hAnsi="Arial" w:cs="Arial"/>
          <w:color w:val="000000"/>
          <w:sz w:val="21"/>
          <w:szCs w:val="21"/>
        </w:rPr>
        <w:t xml:space="preserve"> N 44-ФЗ не установлен порядок проверки аукционной комиссии первых частей заявок на участие в электронном аукционе, не определен и перечень источников, из которых комиссия вправе получать информацию о достоверности сведений, содержащихся в документах, исходящих от участников аукциона.</w:t>
      </w:r>
    </w:p>
    <w:p w:rsidR="00247DB9" w:rsidRPr="00247DB9" w:rsidRDefault="00247DB9" w:rsidP="00247DB9">
      <w:pPr>
        <w:shd w:val="clear" w:color="auto" w:fill="FFFFFF"/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47DB9">
        <w:rPr>
          <w:rFonts w:ascii="Arial" w:eastAsia="Times New Roman" w:hAnsi="Arial" w:cs="Arial"/>
          <w:color w:val="000000"/>
          <w:sz w:val="21"/>
          <w:szCs w:val="21"/>
        </w:rPr>
        <w:t xml:space="preserve">Как показывает анализ практики применения положений </w:t>
      </w:r>
      <w:hyperlink r:id="rId9" w:anchor="block_41094" w:tgtFrame="_blank" w:history="1">
        <w:r w:rsidRPr="00247DB9">
          <w:rPr>
            <w:rFonts w:ascii="Arial" w:eastAsia="Times New Roman" w:hAnsi="Arial" w:cs="Arial"/>
            <w:color w:val="2060A4"/>
            <w:sz w:val="21"/>
          </w:rPr>
          <w:t>ч. 4 ст. 41.9</w:t>
        </w:r>
      </w:hyperlink>
      <w:r w:rsidRPr="00247DB9">
        <w:rPr>
          <w:rFonts w:ascii="Arial" w:eastAsia="Times New Roman" w:hAnsi="Arial" w:cs="Arial"/>
          <w:color w:val="000000"/>
          <w:sz w:val="21"/>
          <w:szCs w:val="21"/>
        </w:rPr>
        <w:t xml:space="preserve"> Федерального закона от 21.07.2005 N 94-ФЗ "О размещении заказов на поставки товаров, выполнение работ, оказание услуг для государственных и муниципальных нужд", аналогичной по своему содержанию </w:t>
      </w:r>
      <w:hyperlink r:id="rId10" w:anchor="block_674" w:tgtFrame="_blank" w:history="1">
        <w:r w:rsidRPr="00247DB9">
          <w:rPr>
            <w:rFonts w:ascii="Arial" w:eastAsia="Times New Roman" w:hAnsi="Arial" w:cs="Arial"/>
            <w:color w:val="2060A4"/>
            <w:sz w:val="21"/>
          </w:rPr>
          <w:t>ч. 4 ст. 67</w:t>
        </w:r>
      </w:hyperlink>
      <w:r w:rsidRPr="00247DB9">
        <w:rPr>
          <w:rFonts w:ascii="Arial" w:eastAsia="Times New Roman" w:hAnsi="Arial" w:cs="Arial"/>
          <w:color w:val="000000"/>
          <w:sz w:val="21"/>
          <w:szCs w:val="21"/>
        </w:rPr>
        <w:t xml:space="preserve"> Закона N 44-ФЗ, нередко правомерность отклонения заявок по мотиву недостоверности указанных в них сведений о предлагаемых товарах обосновывается тем, что эти</w:t>
      </w:r>
      <w:proofErr w:type="gramEnd"/>
      <w:r w:rsidRPr="00247DB9">
        <w:rPr>
          <w:rFonts w:ascii="Arial" w:eastAsia="Times New Roman" w:hAnsi="Arial" w:cs="Arial"/>
          <w:color w:val="000000"/>
          <w:sz w:val="21"/>
          <w:szCs w:val="21"/>
        </w:rPr>
        <w:t xml:space="preserve"> сведения не соответствуют информации, содержащейся на сайтах производителей таких товаров, либо наличием письменного подтверждения недостоверности, исходящего от производителя (смотрите, например, </w:t>
      </w:r>
      <w:hyperlink r:id="rId11" w:tgtFrame="_blank" w:history="1">
        <w:r w:rsidRPr="00247DB9">
          <w:rPr>
            <w:rFonts w:ascii="Arial" w:eastAsia="Times New Roman" w:hAnsi="Arial" w:cs="Arial"/>
            <w:color w:val="2060A4"/>
            <w:sz w:val="21"/>
          </w:rPr>
          <w:t>постановление</w:t>
        </w:r>
        <w:proofErr w:type="gramStart"/>
      </w:hyperlink>
      <w:r w:rsidRPr="00247DB9">
        <w:rPr>
          <w:rFonts w:ascii="Arial" w:eastAsia="Times New Roman" w:hAnsi="Arial" w:cs="Arial"/>
          <w:color w:val="000000"/>
          <w:sz w:val="21"/>
          <w:szCs w:val="21"/>
        </w:rPr>
        <w:t xml:space="preserve"> Ш</w:t>
      </w:r>
      <w:proofErr w:type="gramEnd"/>
      <w:r w:rsidRPr="00247DB9">
        <w:rPr>
          <w:rFonts w:ascii="Arial" w:eastAsia="Times New Roman" w:hAnsi="Arial" w:cs="Arial"/>
          <w:color w:val="000000"/>
          <w:sz w:val="21"/>
          <w:szCs w:val="21"/>
        </w:rPr>
        <w:t xml:space="preserve">естого арбитражного апелляционного суда от 26.03.2014 N 06АП-495/14, </w:t>
      </w:r>
      <w:hyperlink r:id="rId12" w:tgtFrame="_blank" w:history="1">
        <w:r w:rsidRPr="00247DB9">
          <w:rPr>
            <w:rFonts w:ascii="Arial" w:eastAsia="Times New Roman" w:hAnsi="Arial" w:cs="Arial"/>
            <w:color w:val="2060A4"/>
            <w:sz w:val="21"/>
          </w:rPr>
          <w:t>постановление</w:t>
        </w:r>
      </w:hyperlink>
      <w:r w:rsidRPr="00247DB9">
        <w:rPr>
          <w:rFonts w:ascii="Arial" w:eastAsia="Times New Roman" w:hAnsi="Arial" w:cs="Arial"/>
          <w:color w:val="000000"/>
          <w:sz w:val="21"/>
          <w:szCs w:val="21"/>
        </w:rPr>
        <w:t xml:space="preserve"> Восьмого арбитражного апелляционного суда от 11.02.2014 N 08АП-11924/13, </w:t>
      </w:r>
      <w:hyperlink r:id="rId13" w:tgtFrame="_blank" w:history="1">
        <w:r w:rsidRPr="00247DB9">
          <w:rPr>
            <w:rFonts w:ascii="Arial" w:eastAsia="Times New Roman" w:hAnsi="Arial" w:cs="Arial"/>
            <w:color w:val="2060A4"/>
            <w:sz w:val="21"/>
          </w:rPr>
          <w:t>постановление</w:t>
        </w:r>
      </w:hyperlink>
      <w:r w:rsidRPr="00247DB9">
        <w:rPr>
          <w:rFonts w:ascii="Arial" w:eastAsia="Times New Roman" w:hAnsi="Arial" w:cs="Arial"/>
          <w:color w:val="000000"/>
          <w:sz w:val="21"/>
          <w:szCs w:val="21"/>
        </w:rPr>
        <w:t xml:space="preserve"> Пятнадцатого арбитражного апелляционного суда от 13.06.2012 N 15АП-3091/12, решение Верховного Суда Карачаево-Черкесской Республики от 18.07.2013, </w:t>
      </w:r>
      <w:hyperlink r:id="rId14" w:tgtFrame="_blank" w:history="1">
        <w:r w:rsidRPr="00247DB9">
          <w:rPr>
            <w:rFonts w:ascii="Arial" w:eastAsia="Times New Roman" w:hAnsi="Arial" w:cs="Arial"/>
            <w:color w:val="2060A4"/>
            <w:sz w:val="21"/>
          </w:rPr>
          <w:t>постановление</w:t>
        </w:r>
      </w:hyperlink>
      <w:r w:rsidRPr="00247DB9">
        <w:rPr>
          <w:rFonts w:ascii="Arial" w:eastAsia="Times New Roman" w:hAnsi="Arial" w:cs="Arial"/>
          <w:color w:val="000000"/>
          <w:sz w:val="21"/>
          <w:szCs w:val="21"/>
        </w:rPr>
        <w:t xml:space="preserve"> ФАС </w:t>
      </w:r>
      <w:proofErr w:type="spellStart"/>
      <w:r w:rsidRPr="00247DB9">
        <w:rPr>
          <w:rFonts w:ascii="Arial" w:eastAsia="Times New Roman" w:hAnsi="Arial" w:cs="Arial"/>
          <w:color w:val="000000"/>
          <w:sz w:val="21"/>
          <w:szCs w:val="21"/>
        </w:rPr>
        <w:t>Северо-Кавказского</w:t>
      </w:r>
      <w:proofErr w:type="spellEnd"/>
      <w:r w:rsidRPr="00247DB9">
        <w:rPr>
          <w:rFonts w:ascii="Arial" w:eastAsia="Times New Roman" w:hAnsi="Arial" w:cs="Arial"/>
          <w:color w:val="000000"/>
          <w:sz w:val="21"/>
          <w:szCs w:val="21"/>
        </w:rPr>
        <w:t xml:space="preserve"> округа от 26.03.2014 N Ф08-1715/14, </w:t>
      </w:r>
      <w:hyperlink r:id="rId15" w:tgtFrame="_blank" w:history="1">
        <w:r w:rsidRPr="00247DB9">
          <w:rPr>
            <w:rFonts w:ascii="Arial" w:eastAsia="Times New Roman" w:hAnsi="Arial" w:cs="Arial"/>
            <w:color w:val="2060A4"/>
            <w:sz w:val="21"/>
          </w:rPr>
          <w:t>решение</w:t>
        </w:r>
      </w:hyperlink>
      <w:r w:rsidRPr="00247DB9">
        <w:rPr>
          <w:rFonts w:ascii="Arial" w:eastAsia="Times New Roman" w:hAnsi="Arial" w:cs="Arial"/>
          <w:color w:val="000000"/>
          <w:sz w:val="21"/>
          <w:szCs w:val="21"/>
        </w:rPr>
        <w:t xml:space="preserve"> Федеральной антимонопольной службы от 26.06.2012 N К-1192/12). Полагаем, что при отсутствии дополнительной информации (такой, например, как представленное участником письмо производителя о принципиальной возможности изготовления товара, соответствующего указанным в аукционной документации </w:t>
      </w:r>
      <w:r w:rsidRPr="00247DB9">
        <w:rPr>
          <w:rFonts w:ascii="Arial" w:eastAsia="Times New Roman" w:hAnsi="Arial" w:cs="Arial"/>
          <w:color w:val="000000"/>
          <w:sz w:val="21"/>
          <w:szCs w:val="21"/>
        </w:rPr>
        <w:lastRenderedPageBreak/>
        <w:t>характеристикам) приведенные в вопросе обстоятельства являются основанием для отказа в допуске участника к участию в аукционе.</w:t>
      </w:r>
    </w:p>
    <w:p w:rsidR="00247DB9" w:rsidRPr="00247DB9" w:rsidRDefault="00247DB9" w:rsidP="00247DB9">
      <w:pPr>
        <w:shd w:val="clear" w:color="auto" w:fill="FFFFFF"/>
        <w:spacing w:after="255" w:line="255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247DB9">
        <w:rPr>
          <w:rFonts w:ascii="Arial" w:eastAsia="Times New Roman" w:hAnsi="Arial" w:cs="Arial"/>
          <w:color w:val="000000"/>
          <w:sz w:val="21"/>
          <w:szCs w:val="21"/>
        </w:rPr>
        <w:t xml:space="preserve">Вместе с тем нельзя не отметить, что вопрос о соответствии конкретного товара изложенным в документации о закупке требованиям заказчика является </w:t>
      </w:r>
      <w:proofErr w:type="spellStart"/>
      <w:r w:rsidRPr="00247DB9">
        <w:rPr>
          <w:rFonts w:ascii="Arial" w:eastAsia="Times New Roman" w:hAnsi="Arial" w:cs="Arial"/>
          <w:color w:val="000000"/>
          <w:sz w:val="21"/>
          <w:szCs w:val="21"/>
        </w:rPr>
        <w:t>неправовым</w:t>
      </w:r>
      <w:proofErr w:type="spellEnd"/>
      <w:r w:rsidRPr="00247DB9">
        <w:rPr>
          <w:rFonts w:ascii="Arial" w:eastAsia="Times New Roman" w:hAnsi="Arial" w:cs="Arial"/>
          <w:color w:val="000000"/>
          <w:sz w:val="21"/>
          <w:szCs w:val="21"/>
        </w:rPr>
        <w:t xml:space="preserve"> и должен решаться в зависимости от конкретных обстоятельств. </w:t>
      </w:r>
      <w:proofErr w:type="gramStart"/>
      <w:r w:rsidRPr="00247DB9">
        <w:rPr>
          <w:rFonts w:ascii="Arial" w:eastAsia="Times New Roman" w:hAnsi="Arial" w:cs="Arial"/>
          <w:color w:val="000000"/>
          <w:sz w:val="21"/>
          <w:szCs w:val="21"/>
        </w:rPr>
        <w:t xml:space="preserve">В правоприменительной практике можно обнаружить примеры дел, когда сам по себе факт несоответствия между содержащимися в первой части заявки сведениями и информацией, размещенной на сайте производителя, не признавался доказательством недостоверности представленных участником сведений и, следовательно, достаточным основанием для отказа в допуске к участию в аукционе (смотрите, например, </w:t>
      </w:r>
      <w:hyperlink r:id="rId16" w:tgtFrame="_blank" w:history="1">
        <w:r w:rsidRPr="00247DB9">
          <w:rPr>
            <w:rFonts w:ascii="Arial" w:eastAsia="Times New Roman" w:hAnsi="Arial" w:cs="Arial"/>
            <w:color w:val="2060A4"/>
            <w:sz w:val="21"/>
          </w:rPr>
          <w:t>решение</w:t>
        </w:r>
      </w:hyperlink>
      <w:r w:rsidRPr="00247DB9">
        <w:rPr>
          <w:rFonts w:ascii="Arial" w:eastAsia="Times New Roman" w:hAnsi="Arial" w:cs="Arial"/>
          <w:color w:val="000000"/>
          <w:sz w:val="21"/>
          <w:szCs w:val="21"/>
        </w:rPr>
        <w:t xml:space="preserve"> Федеральной антимонопольной службы от 05.06.2013 N К-787/13, п. 2 Обзора судебной</w:t>
      </w:r>
      <w:proofErr w:type="gramEnd"/>
      <w:r w:rsidRPr="00247DB9">
        <w:rPr>
          <w:rFonts w:ascii="Arial" w:eastAsia="Times New Roman" w:hAnsi="Arial" w:cs="Arial"/>
          <w:color w:val="000000"/>
          <w:sz w:val="21"/>
          <w:szCs w:val="21"/>
        </w:rPr>
        <w:t xml:space="preserve"> практики по вопросам, связанным с размещением заказов на поставки товаров, выполнение работ, оказание услуг для государственных и муниципальных нужд (подготовлен Управлением контроля размещения государственного заказа ФАС России, февраль 2011), </w:t>
      </w:r>
      <w:hyperlink r:id="rId17" w:tgtFrame="_blank" w:history="1">
        <w:r w:rsidRPr="00247DB9">
          <w:rPr>
            <w:rFonts w:ascii="Arial" w:eastAsia="Times New Roman" w:hAnsi="Arial" w:cs="Arial"/>
            <w:color w:val="2060A4"/>
            <w:sz w:val="21"/>
          </w:rPr>
          <w:t>постановление</w:t>
        </w:r>
        <w:proofErr w:type="gramStart"/>
      </w:hyperlink>
      <w:r w:rsidRPr="00247DB9">
        <w:rPr>
          <w:rFonts w:ascii="Arial" w:eastAsia="Times New Roman" w:hAnsi="Arial" w:cs="Arial"/>
          <w:color w:val="000000"/>
          <w:sz w:val="21"/>
          <w:szCs w:val="21"/>
        </w:rPr>
        <w:t xml:space="preserve"> Д</w:t>
      </w:r>
      <w:proofErr w:type="gramEnd"/>
      <w:r w:rsidRPr="00247DB9">
        <w:rPr>
          <w:rFonts w:ascii="Arial" w:eastAsia="Times New Roman" w:hAnsi="Arial" w:cs="Arial"/>
          <w:color w:val="000000"/>
          <w:sz w:val="21"/>
          <w:szCs w:val="21"/>
        </w:rPr>
        <w:t xml:space="preserve">евятого арбитражного апелляционного суда от 23.12.2013 N 09АП-38200/13, </w:t>
      </w:r>
      <w:hyperlink r:id="rId18" w:tgtFrame="_blank" w:history="1">
        <w:r w:rsidRPr="00247DB9">
          <w:rPr>
            <w:rFonts w:ascii="Arial" w:eastAsia="Times New Roman" w:hAnsi="Arial" w:cs="Arial"/>
            <w:color w:val="2060A4"/>
            <w:sz w:val="21"/>
          </w:rPr>
          <w:t>постановление</w:t>
        </w:r>
      </w:hyperlink>
      <w:r w:rsidRPr="00247DB9">
        <w:rPr>
          <w:rFonts w:ascii="Arial" w:eastAsia="Times New Roman" w:hAnsi="Arial" w:cs="Arial"/>
          <w:color w:val="000000"/>
          <w:sz w:val="21"/>
          <w:szCs w:val="21"/>
        </w:rPr>
        <w:t xml:space="preserve"> Тринадцатого арбитражного апелляционного суда от 16.07.2013 N 13АП-10970/13). Наличие в правоприменительной практике подобных примеров, как нам представляется, свидетельствует о том, что при возникновении у заказчика сомнений в достоверности сведений, содержащихся в первой части заявки, целесообразно принимать максимально возможные меры для проверки достоверности этих сведений, не ограничиваясь сравнением их с информацией, представленной в сети Интернет.</w:t>
      </w:r>
    </w:p>
    <w:p w:rsidR="00247DB9" w:rsidRPr="00247DB9" w:rsidRDefault="00247DB9" w:rsidP="00247DB9">
      <w:pPr>
        <w:shd w:val="clear" w:color="auto" w:fill="FFFFFF"/>
        <w:spacing w:after="255" w:line="255" w:lineRule="atLeast"/>
        <w:jc w:val="right"/>
        <w:rPr>
          <w:rFonts w:ascii="Arial" w:eastAsia="Times New Roman" w:hAnsi="Arial" w:cs="Arial"/>
          <w:color w:val="000000"/>
          <w:sz w:val="21"/>
          <w:szCs w:val="21"/>
        </w:rPr>
      </w:pPr>
      <w:r w:rsidRPr="00247DB9">
        <w:rPr>
          <w:rFonts w:ascii="Arial" w:eastAsia="Times New Roman" w:hAnsi="Arial" w:cs="Arial"/>
          <w:i/>
          <w:iCs/>
          <w:color w:val="000000"/>
          <w:sz w:val="21"/>
        </w:rPr>
        <w:t>Ответ подготовил:</w:t>
      </w:r>
    </w:p>
    <w:p w:rsidR="00247DB9" w:rsidRPr="00247DB9" w:rsidRDefault="00247DB9" w:rsidP="00247DB9">
      <w:pPr>
        <w:shd w:val="clear" w:color="auto" w:fill="FFFFFF"/>
        <w:spacing w:after="255" w:line="255" w:lineRule="atLeast"/>
        <w:jc w:val="right"/>
        <w:rPr>
          <w:rFonts w:ascii="Arial" w:eastAsia="Times New Roman" w:hAnsi="Arial" w:cs="Arial"/>
          <w:color w:val="000000"/>
          <w:sz w:val="21"/>
          <w:szCs w:val="21"/>
        </w:rPr>
      </w:pPr>
      <w:r w:rsidRPr="00247DB9">
        <w:rPr>
          <w:rFonts w:ascii="Arial" w:eastAsia="Times New Roman" w:hAnsi="Arial" w:cs="Arial"/>
          <w:i/>
          <w:iCs/>
          <w:color w:val="000000"/>
          <w:sz w:val="21"/>
        </w:rPr>
        <w:t>Эксперт службы Правового консалтинга ГАРАНТ</w:t>
      </w:r>
    </w:p>
    <w:p w:rsidR="00247DB9" w:rsidRPr="00247DB9" w:rsidRDefault="00247DB9" w:rsidP="00247DB9">
      <w:pPr>
        <w:shd w:val="clear" w:color="auto" w:fill="FFFFFF"/>
        <w:spacing w:after="0" w:line="255" w:lineRule="atLeast"/>
        <w:rPr>
          <w:rFonts w:ascii="Arial" w:eastAsia="Times New Roman" w:hAnsi="Arial" w:cs="Arial"/>
          <w:color w:val="000000"/>
          <w:sz w:val="21"/>
          <w:szCs w:val="21"/>
        </w:rPr>
      </w:pPr>
      <w:r w:rsidRPr="00247DB9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247DB9">
        <w:rPr>
          <w:rFonts w:ascii="Arial" w:eastAsia="Times New Roman" w:hAnsi="Arial" w:cs="Arial"/>
          <w:color w:val="000000"/>
          <w:sz w:val="21"/>
          <w:szCs w:val="21"/>
        </w:rPr>
        <w:br/>
      </w:r>
    </w:p>
    <w:p w:rsidR="005F09B7" w:rsidRDefault="005F09B7"/>
    <w:sectPr w:rsidR="005F09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47DB9"/>
    <w:rsid w:val="00247DB9"/>
    <w:rsid w:val="005F09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247DB9"/>
    <w:pPr>
      <w:spacing w:after="255" w:line="240" w:lineRule="atLeast"/>
      <w:outlineLvl w:val="3"/>
    </w:pPr>
    <w:rPr>
      <w:rFonts w:ascii="Times New Roman" w:eastAsia="Times New Roman" w:hAnsi="Times New Roman" w:cs="Times New Roman"/>
      <w:b/>
      <w:bCs/>
      <w:color w:val="4D4D4D"/>
      <w:sz w:val="23"/>
      <w:szCs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247DB9"/>
    <w:rPr>
      <w:rFonts w:ascii="Times New Roman" w:eastAsia="Times New Roman" w:hAnsi="Times New Roman" w:cs="Times New Roman"/>
      <w:b/>
      <w:bCs/>
      <w:color w:val="4D4D4D"/>
      <w:sz w:val="23"/>
      <w:szCs w:val="23"/>
    </w:rPr>
  </w:style>
  <w:style w:type="character" w:styleId="a3">
    <w:name w:val="Hyperlink"/>
    <w:basedOn w:val="a0"/>
    <w:uiPriority w:val="99"/>
    <w:semiHidden/>
    <w:unhideWhenUsed/>
    <w:rsid w:val="00247DB9"/>
    <w:rPr>
      <w:strike w:val="0"/>
      <w:dstrike w:val="0"/>
      <w:color w:val="2060A4"/>
      <w:u w:val="none"/>
      <w:effect w:val="none"/>
      <w:bdr w:val="none" w:sz="0" w:space="0" w:color="auto" w:frame="1"/>
    </w:rPr>
  </w:style>
  <w:style w:type="character" w:styleId="a4">
    <w:name w:val="Emphasis"/>
    <w:basedOn w:val="a0"/>
    <w:uiPriority w:val="20"/>
    <w:qFormat/>
    <w:rsid w:val="00247DB9"/>
    <w:rPr>
      <w:i/>
      <w:iCs/>
    </w:rPr>
  </w:style>
  <w:style w:type="paragraph" w:styleId="a5">
    <w:name w:val="Normal (Web)"/>
    <w:basedOn w:val="a"/>
    <w:uiPriority w:val="99"/>
    <w:semiHidden/>
    <w:unhideWhenUsed/>
    <w:rsid w:val="00247DB9"/>
    <w:pPr>
      <w:spacing w:after="255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565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13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810712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94472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38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70353464/" TargetMode="External"/><Relationship Id="rId13" Type="http://schemas.openxmlformats.org/officeDocument/2006/relationships/hyperlink" Target="http://base.garant.ru/53972798/" TargetMode="External"/><Relationship Id="rId18" Type="http://schemas.openxmlformats.org/officeDocument/2006/relationships/hyperlink" Target="http://base.garant.ru/54557288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base.garant.ru/70353464/3/" TargetMode="External"/><Relationship Id="rId12" Type="http://schemas.openxmlformats.org/officeDocument/2006/relationships/hyperlink" Target="http://base.garant.ru/54894559/" TargetMode="External"/><Relationship Id="rId17" Type="http://schemas.openxmlformats.org/officeDocument/2006/relationships/hyperlink" Target="http://base.garant.ru/54838997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base.garant.ru/70406616/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base.garant.ru/70353464/3/" TargetMode="External"/><Relationship Id="rId11" Type="http://schemas.openxmlformats.org/officeDocument/2006/relationships/hyperlink" Target="http://base.garant.ru/54965969/" TargetMode="External"/><Relationship Id="rId5" Type="http://schemas.openxmlformats.org/officeDocument/2006/relationships/hyperlink" Target="http://base.garant.ru/70353464/3/" TargetMode="External"/><Relationship Id="rId15" Type="http://schemas.openxmlformats.org/officeDocument/2006/relationships/hyperlink" Target="http://base.garant.ru/70198984/" TargetMode="External"/><Relationship Id="rId10" Type="http://schemas.openxmlformats.org/officeDocument/2006/relationships/hyperlink" Target="http://base.garant.ru/70353464/3/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://base.garant.ru/70353464/3/" TargetMode="External"/><Relationship Id="rId9" Type="http://schemas.openxmlformats.org/officeDocument/2006/relationships/hyperlink" Target="http://base.garant.ru/12141175/5/" TargetMode="External"/><Relationship Id="rId14" Type="http://schemas.openxmlformats.org/officeDocument/2006/relationships/hyperlink" Target="http://base.garant.ru/4066064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922</Words>
  <Characters>5261</Characters>
  <Application>Microsoft Office Word</Application>
  <DocSecurity>0</DocSecurity>
  <Lines>43</Lines>
  <Paragraphs>12</Paragraphs>
  <ScaleCrop>false</ScaleCrop>
  <Company>Microsoft</Company>
  <LinksUpToDate>false</LinksUpToDate>
  <CharactersWithSpaces>6171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2014-11-21T09:42:00Z</dcterms:created>
  <dcterms:modified xsi:type="dcterms:W3CDTF">2014-11-21T09:43:00Z</dcterms:modified>
</cp:coreProperties>
</file>