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FBB" w:rsidRPr="00CA1FBB" w:rsidRDefault="00CA1FBB" w:rsidP="00CA1FBB">
      <w:pPr>
        <w:rPr>
          <w:sz w:val="20"/>
          <w:szCs w:val="20"/>
          <w:lang w:val="ru-RU"/>
        </w:rPr>
      </w:pPr>
    </w:p>
    <w:p w:rsidR="00CA1FBB" w:rsidRPr="00CA1FBB" w:rsidRDefault="00CA1FBB" w:rsidP="00CA1FBB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:rsidR="00A526B8" w:rsidRPr="00A526B8" w:rsidRDefault="00A526B8" w:rsidP="00A526B8">
      <w:pPr>
        <w:widowControl/>
        <w:jc w:val="center"/>
        <w:rPr>
          <w:rFonts w:ascii="Times New Roman" w:eastAsia="Times New Roman" w:hAnsi="Times New Roman" w:cs="Times New Roman"/>
          <w:b/>
          <w:bCs/>
          <w:kern w:val="28"/>
          <w:lang w:val="ru-RU" w:eastAsia="ru-RU"/>
        </w:rPr>
      </w:pPr>
      <w:r w:rsidRPr="00A526B8">
        <w:rPr>
          <w:rFonts w:ascii="Times New Roman" w:eastAsia="Times New Roman" w:hAnsi="Times New Roman" w:cs="Times New Roman"/>
          <w:b/>
          <w:bCs/>
          <w:kern w:val="28"/>
          <w:lang w:val="ru-RU" w:eastAsia="ru-RU"/>
        </w:rPr>
        <w:t>ФОРМА ПРЕДЛОЖЕНИЯ УЧАСТНИКА ЗАКУПКИ</w:t>
      </w:r>
    </w:p>
    <w:p w:rsidR="00A526B8" w:rsidRPr="00A526B8" w:rsidRDefault="00A526B8" w:rsidP="00A526B8">
      <w:pPr>
        <w:widowControl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:rsidR="00A526B8" w:rsidRPr="00A526B8" w:rsidRDefault="00A526B8" w:rsidP="00A526B8">
      <w:pPr>
        <w:widowControl/>
        <w:tabs>
          <w:tab w:val="left" w:pos="708"/>
        </w:tabs>
        <w:autoSpaceDE w:val="0"/>
        <w:autoSpaceDN w:val="0"/>
        <w:spacing w:after="60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A526B8">
        <w:rPr>
          <w:rFonts w:ascii="Times New Roman" w:eastAsia="Times New Roman" w:hAnsi="Times New Roman" w:cs="Times New Roman"/>
          <w:b/>
          <w:lang w:val="ru-RU" w:eastAsia="ru-RU"/>
        </w:rPr>
        <w:t>ТРЕБОВАНИЯ К КАЧЕСТВУ, ТЕХНИЧЕСКИМ ХАРАКТЕРИСТИКАМ ТОВАРА, ЕГО БЕЗОПАСНОСТИ, ФУНКЦИОНАЛЬНЫМ ХАРАКТЕРИСТИКАМ (ПОТРЕБИТЕЛЬСКИМ СВОЙСТВАМ)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</w:t>
      </w:r>
    </w:p>
    <w:p w:rsidR="00A526B8" w:rsidRPr="00A526B8" w:rsidRDefault="00A526B8" w:rsidP="00A526B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A526B8">
        <w:rPr>
          <w:rFonts w:ascii="Times New Roman" w:eastAsia="Times New Roman" w:hAnsi="Times New Roman" w:cs="Times New Roman"/>
          <w:lang w:val="ru-RU" w:eastAsia="ru-RU"/>
        </w:rPr>
        <w:t>Приложение к первой части заявки</w:t>
      </w:r>
    </w:p>
    <w:p w:rsidR="00A526B8" w:rsidRPr="00A526B8" w:rsidRDefault="00A526B8" w:rsidP="00A526B8">
      <w:pPr>
        <w:widowControl/>
        <w:tabs>
          <w:tab w:val="left" w:pos="708"/>
        </w:tabs>
        <w:autoSpaceDE w:val="0"/>
        <w:autoSpaceDN w:val="0"/>
        <w:spacing w:after="6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A526B8" w:rsidRPr="00A526B8" w:rsidRDefault="00A526B8" w:rsidP="00A526B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A526B8">
        <w:rPr>
          <w:rFonts w:ascii="Times New Roman" w:eastAsia="Calibri" w:hAnsi="Times New Roman" w:cs="Times New Roman"/>
          <w:lang w:val="ru-RU" w:eastAsia="ru-RU"/>
        </w:rPr>
        <w:t>1. 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</w:t>
      </w:r>
      <w:r w:rsidRPr="00A526B8">
        <w:rPr>
          <w:rFonts w:ascii="Times New Roman" w:eastAsia="Times New Roman" w:hAnsi="Times New Roman" w:cs="Times New Roman"/>
          <w:lang w:val="ru-RU" w:eastAsia="ru-RU"/>
        </w:rPr>
        <w:t>:</w:t>
      </w:r>
    </w:p>
    <w:p w:rsidR="00CA1FBB" w:rsidRDefault="00CA1FBB" w:rsidP="00CA1FBB">
      <w:pPr>
        <w:jc w:val="right"/>
        <w:rPr>
          <w:lang w:val="ru-RU"/>
        </w:rPr>
      </w:pPr>
      <w:bookmarkStart w:id="0" w:name="_GoBack"/>
      <w:bookmarkEnd w:id="0"/>
    </w:p>
    <w:tbl>
      <w:tblPr>
        <w:tblStyle w:val="a3"/>
        <w:tblW w:w="4965" w:type="pct"/>
        <w:tblLayout w:type="fixed"/>
        <w:tblLook w:val="04A0" w:firstRow="1" w:lastRow="0" w:firstColumn="1" w:lastColumn="0" w:noHBand="0" w:noVBand="1"/>
      </w:tblPr>
      <w:tblGrid>
        <w:gridCol w:w="534"/>
        <w:gridCol w:w="2267"/>
        <w:gridCol w:w="1702"/>
        <w:gridCol w:w="5954"/>
        <w:gridCol w:w="1699"/>
        <w:gridCol w:w="710"/>
        <w:gridCol w:w="992"/>
        <w:gridCol w:w="1647"/>
      </w:tblGrid>
      <w:tr w:rsidR="00CA1FBB" w:rsidRPr="00BA70B6" w:rsidTr="00621723">
        <w:tc>
          <w:tcPr>
            <w:tcW w:w="172" w:type="pct"/>
            <w:vMerge w:val="restart"/>
            <w:vAlign w:val="center"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 xml:space="preserve">№  </w:t>
            </w:r>
            <w:r w:rsidRPr="00BA70B6">
              <w:rPr>
                <w:sz w:val="20"/>
                <w:szCs w:val="20"/>
              </w:rPr>
              <w:br/>
            </w:r>
            <w:proofErr w:type="gramStart"/>
            <w:r w:rsidRPr="00BA70B6">
              <w:rPr>
                <w:sz w:val="20"/>
                <w:szCs w:val="20"/>
              </w:rPr>
              <w:t>п</w:t>
            </w:r>
            <w:proofErr w:type="gramEnd"/>
            <w:r w:rsidRPr="00BA70B6">
              <w:rPr>
                <w:sz w:val="20"/>
                <w:szCs w:val="20"/>
              </w:rPr>
              <w:t>/п</w:t>
            </w:r>
          </w:p>
        </w:tc>
        <w:tc>
          <w:tcPr>
            <w:tcW w:w="731" w:type="pct"/>
            <w:vMerge w:val="restart"/>
            <w:vAlign w:val="center"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549" w:type="pct"/>
            <w:vMerge w:val="restart"/>
            <w:vAlign w:val="center"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Указание на товарный знак (модель, производитель)</w:t>
            </w:r>
          </w:p>
        </w:tc>
        <w:tc>
          <w:tcPr>
            <w:tcW w:w="2468" w:type="pct"/>
            <w:gridSpan w:val="2"/>
            <w:vAlign w:val="center"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229" w:type="pct"/>
            <w:vMerge w:val="restart"/>
            <w:vAlign w:val="center"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Ед. изм.</w:t>
            </w:r>
          </w:p>
        </w:tc>
        <w:tc>
          <w:tcPr>
            <w:tcW w:w="320" w:type="pct"/>
            <w:vMerge w:val="restart"/>
            <w:vAlign w:val="center"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Кол-во</w:t>
            </w:r>
          </w:p>
        </w:tc>
        <w:tc>
          <w:tcPr>
            <w:tcW w:w="531" w:type="pct"/>
            <w:vMerge w:val="restart"/>
            <w:vAlign w:val="center"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Сведения о сертификации</w:t>
            </w:r>
          </w:p>
        </w:tc>
      </w:tr>
      <w:tr w:rsidR="00CA1FBB" w:rsidRPr="00BA70B6" w:rsidTr="00621723">
        <w:tc>
          <w:tcPr>
            <w:tcW w:w="172" w:type="pct"/>
            <w:vMerge/>
          </w:tcPr>
          <w:p w:rsidR="00CA1FBB" w:rsidRPr="00BA70B6" w:rsidRDefault="00CA1FBB" w:rsidP="0062172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731" w:type="pct"/>
            <w:vMerge/>
          </w:tcPr>
          <w:p w:rsidR="00CA1FBB" w:rsidRPr="00BA70B6" w:rsidRDefault="00CA1FBB" w:rsidP="0062172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549" w:type="pct"/>
            <w:vMerge/>
          </w:tcPr>
          <w:p w:rsidR="00CA1FBB" w:rsidRPr="00BA70B6" w:rsidRDefault="00CA1FBB" w:rsidP="0062172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920" w:type="pct"/>
            <w:vAlign w:val="center"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Требуемый параметр/Требуемое значение</w:t>
            </w:r>
          </w:p>
        </w:tc>
        <w:tc>
          <w:tcPr>
            <w:tcW w:w="548" w:type="pct"/>
            <w:vAlign w:val="center"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Значение, предлагаемое  участником</w:t>
            </w:r>
          </w:p>
        </w:tc>
        <w:tc>
          <w:tcPr>
            <w:tcW w:w="229" w:type="pct"/>
            <w:vMerge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320" w:type="pct"/>
            <w:vMerge/>
          </w:tcPr>
          <w:p w:rsidR="00CA1FBB" w:rsidRPr="00BA70B6" w:rsidRDefault="00CA1FBB" w:rsidP="00A526B8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531" w:type="pct"/>
            <w:vMerge/>
          </w:tcPr>
          <w:p w:rsidR="00CA1FBB" w:rsidRPr="00BA70B6" w:rsidRDefault="00CA1FBB" w:rsidP="00621723">
            <w:pPr>
              <w:pStyle w:val="a4"/>
              <w:rPr>
                <w:sz w:val="20"/>
                <w:szCs w:val="20"/>
              </w:rPr>
            </w:pPr>
          </w:p>
        </w:tc>
      </w:tr>
      <w:tr w:rsidR="00CA1FBB" w:rsidRPr="00BA70B6" w:rsidTr="00621723">
        <w:tc>
          <w:tcPr>
            <w:tcW w:w="172" w:type="pct"/>
            <w:vAlign w:val="center"/>
          </w:tcPr>
          <w:p w:rsidR="00CA1FBB" w:rsidRPr="00BA70B6" w:rsidRDefault="00CA1FBB" w:rsidP="00621723">
            <w:pPr>
              <w:pStyle w:val="a4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1.</w:t>
            </w:r>
          </w:p>
        </w:tc>
        <w:tc>
          <w:tcPr>
            <w:tcW w:w="731" w:type="pct"/>
            <w:vAlign w:val="center"/>
          </w:tcPr>
          <w:p w:rsidR="00CA1FBB" w:rsidRPr="00BA70B6" w:rsidRDefault="00CA1FBB" w:rsidP="00621723">
            <w:pPr>
              <w:pStyle w:val="a4"/>
              <w:rPr>
                <w:sz w:val="20"/>
                <w:szCs w:val="20"/>
              </w:rPr>
            </w:pPr>
            <w:r w:rsidRPr="00BA70B6">
              <w:rPr>
                <w:sz w:val="20"/>
                <w:szCs w:val="20"/>
              </w:rPr>
              <w:t>Дезинфицирующее средство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549" w:type="pct"/>
            <w:vAlign w:val="center"/>
          </w:tcPr>
          <w:p w:rsidR="00CA1FBB" w:rsidRPr="00BA70B6" w:rsidRDefault="00CA1FBB" w:rsidP="0062172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920" w:type="pct"/>
            <w:vAlign w:val="center"/>
          </w:tcPr>
          <w:p w:rsidR="00CA1FBB" w:rsidRPr="00E23A4F" w:rsidRDefault="00CA1FBB" w:rsidP="00621723">
            <w:pPr>
              <w:pStyle w:val="a4"/>
              <w:rPr>
                <w:sz w:val="20"/>
                <w:szCs w:val="20"/>
              </w:rPr>
            </w:pPr>
            <w:r w:rsidRPr="00BA70B6">
              <w:rPr>
                <w:rFonts w:eastAsiaTheme="minorHAnsi"/>
                <w:sz w:val="20"/>
                <w:szCs w:val="20"/>
              </w:rPr>
              <w:t xml:space="preserve">Дезинфицирующее средство должно быть концентрированное и должно </w:t>
            </w:r>
            <w:r w:rsidRPr="00E23A4F">
              <w:rPr>
                <w:rFonts w:eastAsiaTheme="minorHAnsi"/>
                <w:sz w:val="20"/>
                <w:szCs w:val="20"/>
              </w:rPr>
              <w:t xml:space="preserve">представлять собой слегка мутноватую или прозрачную жидкость. В состав средства должны входить 3 действующих вещества: </w:t>
            </w:r>
            <w:proofErr w:type="spellStart"/>
            <w:r w:rsidRPr="00E23A4F">
              <w:rPr>
                <w:rFonts w:eastAsiaTheme="minorHAnsi"/>
                <w:sz w:val="20"/>
                <w:szCs w:val="20"/>
              </w:rPr>
              <w:t>дидецилдиметиламмоний</w:t>
            </w:r>
            <w:proofErr w:type="spellEnd"/>
            <w:r w:rsidRPr="00E23A4F">
              <w:rPr>
                <w:rFonts w:eastAsiaTheme="minorHAnsi"/>
                <w:sz w:val="20"/>
                <w:szCs w:val="20"/>
              </w:rPr>
              <w:t xml:space="preserve"> хлорид, N,N-бис(3-аминопропил</w:t>
            </w:r>
            <w:proofErr w:type="gramStart"/>
            <w:r w:rsidRPr="00E23A4F">
              <w:rPr>
                <w:rFonts w:eastAsiaTheme="minorHAnsi"/>
                <w:sz w:val="20"/>
                <w:szCs w:val="20"/>
              </w:rPr>
              <w:t>)</w:t>
            </w:r>
            <w:proofErr w:type="spellStart"/>
            <w:r w:rsidRPr="00E23A4F">
              <w:rPr>
                <w:rFonts w:eastAsiaTheme="minorHAnsi"/>
                <w:sz w:val="20"/>
                <w:szCs w:val="20"/>
              </w:rPr>
              <w:t>д</w:t>
            </w:r>
            <w:proofErr w:type="gramEnd"/>
            <w:r w:rsidRPr="00E23A4F">
              <w:rPr>
                <w:rFonts w:eastAsiaTheme="minorHAnsi"/>
                <w:sz w:val="20"/>
                <w:szCs w:val="20"/>
              </w:rPr>
              <w:t>одециламин</w:t>
            </w:r>
            <w:proofErr w:type="spellEnd"/>
            <w:r w:rsidRPr="00E23A4F">
              <w:rPr>
                <w:rFonts w:eastAsiaTheme="minorHAnsi"/>
                <w:sz w:val="20"/>
                <w:szCs w:val="20"/>
              </w:rPr>
              <w:t xml:space="preserve">, </w:t>
            </w:r>
            <w:proofErr w:type="spellStart"/>
            <w:r w:rsidRPr="00E23A4F">
              <w:rPr>
                <w:rFonts w:eastAsiaTheme="minorHAnsi"/>
                <w:sz w:val="20"/>
                <w:szCs w:val="20"/>
              </w:rPr>
              <w:t>полигексаметиленбигуанид</w:t>
            </w:r>
            <w:proofErr w:type="spellEnd"/>
            <w:r w:rsidRPr="00E23A4F">
              <w:rPr>
                <w:rFonts w:eastAsiaTheme="minorHAnsi"/>
                <w:sz w:val="20"/>
                <w:szCs w:val="20"/>
              </w:rPr>
              <w:t xml:space="preserve"> гидрохлорид. рН средства должен быть более 5,5 но менее 14. </w:t>
            </w:r>
            <w:r w:rsidRPr="00E23A4F">
              <w:rPr>
                <w:sz w:val="20"/>
                <w:szCs w:val="20"/>
              </w:rPr>
              <w:t>Состав: ПАВ</w:t>
            </w:r>
            <w:r w:rsidRPr="00E23A4F">
              <w:rPr>
                <w:rFonts w:eastAsiaTheme="minorHAnsi"/>
                <w:sz w:val="20"/>
                <w:szCs w:val="20"/>
              </w:rPr>
              <w:t xml:space="preserve"> (≥ тринадцати), </w:t>
            </w:r>
            <w:proofErr w:type="spellStart"/>
            <w:r w:rsidRPr="00E23A4F">
              <w:rPr>
                <w:rFonts w:eastAsiaTheme="minorHAnsi"/>
                <w:sz w:val="20"/>
                <w:szCs w:val="20"/>
              </w:rPr>
              <w:t>дидецилдиметиламмоний</w:t>
            </w:r>
            <w:proofErr w:type="spellEnd"/>
            <w:r w:rsidRPr="00E23A4F">
              <w:rPr>
                <w:rFonts w:eastAsiaTheme="minorHAnsi"/>
                <w:sz w:val="20"/>
                <w:szCs w:val="20"/>
              </w:rPr>
              <w:t xml:space="preserve"> хлорида (≤ восьми, но ≥ семи</w:t>
            </w:r>
            <w:r w:rsidRPr="00BA70B6">
              <w:rPr>
                <w:rFonts w:eastAsiaTheme="minorHAnsi"/>
                <w:sz w:val="20"/>
                <w:szCs w:val="20"/>
              </w:rPr>
              <w:t>), N,N-бис(3-аминопропил</w:t>
            </w:r>
            <w:proofErr w:type="gramStart"/>
            <w:r w:rsidRPr="00BA70B6">
              <w:rPr>
                <w:rFonts w:eastAsiaTheme="minorHAnsi"/>
                <w:sz w:val="20"/>
                <w:szCs w:val="20"/>
              </w:rPr>
              <w:t>)</w:t>
            </w:r>
            <w:proofErr w:type="spellStart"/>
            <w:r w:rsidRPr="00BA70B6">
              <w:rPr>
                <w:rFonts w:eastAsiaTheme="minorHAnsi"/>
                <w:sz w:val="20"/>
                <w:szCs w:val="20"/>
              </w:rPr>
              <w:t>д</w:t>
            </w:r>
            <w:proofErr w:type="gramEnd"/>
            <w:r w:rsidRPr="00BA70B6">
              <w:rPr>
                <w:rFonts w:eastAsiaTheme="minorHAnsi"/>
                <w:sz w:val="20"/>
                <w:szCs w:val="20"/>
              </w:rPr>
              <w:t>одециламина</w:t>
            </w:r>
            <w:proofErr w:type="spellEnd"/>
            <w:r w:rsidRPr="00BA70B6">
              <w:rPr>
                <w:rFonts w:eastAsiaTheme="minorHAnsi"/>
                <w:sz w:val="20"/>
                <w:szCs w:val="20"/>
              </w:rPr>
              <w:t xml:space="preserve"> (˂ пяти целых шести десятых, но ˃ четырех целых трех десятых), функциональные добавки - ингибитор коррозии, кондиционер воды, краситель (˂ пятьдесят три), </w:t>
            </w:r>
            <w:proofErr w:type="spellStart"/>
            <w:r w:rsidRPr="00BA70B6">
              <w:rPr>
                <w:sz w:val="20"/>
                <w:szCs w:val="20"/>
              </w:rPr>
              <w:t>полигексаметиленбигуанид</w:t>
            </w:r>
            <w:proofErr w:type="spellEnd"/>
            <w:r w:rsidRPr="00BA70B6">
              <w:rPr>
                <w:sz w:val="20"/>
                <w:szCs w:val="20"/>
              </w:rPr>
              <w:t xml:space="preserve"> гидрохлорида (н</w:t>
            </w:r>
            <w:r w:rsidRPr="00BA70B6">
              <w:rPr>
                <w:rFonts w:eastAsiaTheme="minorHAnsi"/>
                <w:sz w:val="20"/>
                <w:szCs w:val="20"/>
              </w:rPr>
              <w:t xml:space="preserve">е должно быть ˃ трех и ˂ двух), </w:t>
            </w:r>
            <w:r w:rsidRPr="00BA70B6">
              <w:rPr>
                <w:sz w:val="20"/>
                <w:szCs w:val="20"/>
              </w:rPr>
              <w:t>питьевая вода</w:t>
            </w:r>
            <w:r w:rsidRPr="00BA70B6">
              <w:rPr>
                <w:rFonts w:eastAsiaTheme="minorHAnsi"/>
                <w:sz w:val="20"/>
                <w:szCs w:val="20"/>
              </w:rPr>
              <w:t xml:space="preserve"> (˃ сорока).</w:t>
            </w:r>
            <w:r w:rsidRPr="00BA70B6">
              <w:rPr>
                <w:sz w:val="20"/>
                <w:szCs w:val="20"/>
              </w:rPr>
              <w:t xml:space="preserve"> </w:t>
            </w:r>
            <w:r w:rsidR="00DD3BD6">
              <w:rPr>
                <w:sz w:val="20"/>
                <w:szCs w:val="20"/>
              </w:rPr>
              <w:t xml:space="preserve"> </w:t>
            </w:r>
            <w:proofErr w:type="gramStart"/>
            <w:r w:rsidRPr="00BA70B6">
              <w:rPr>
                <w:sz w:val="20"/>
                <w:szCs w:val="20"/>
              </w:rPr>
              <w:t>Средство должно быть активно в отношении грамотрицательных и грамположительных бактерий (в том числе внутрибольничных и анаэробных инфекций, патогенных и плесневых грибов, вирусов</w:t>
            </w:r>
            <w:r>
              <w:rPr>
                <w:sz w:val="20"/>
                <w:szCs w:val="20"/>
              </w:rPr>
              <w:t xml:space="preserve"> </w:t>
            </w:r>
            <w:r w:rsidRPr="00BA70B6">
              <w:rPr>
                <w:sz w:val="20"/>
                <w:szCs w:val="20"/>
              </w:rPr>
              <w:t xml:space="preserve">(полиомиелита, </w:t>
            </w:r>
            <w:proofErr w:type="spellStart"/>
            <w:r w:rsidRPr="00BA70B6">
              <w:rPr>
                <w:sz w:val="20"/>
                <w:szCs w:val="20"/>
              </w:rPr>
              <w:t>энтеральных</w:t>
            </w:r>
            <w:proofErr w:type="spellEnd"/>
            <w:r w:rsidRPr="00BA70B6">
              <w:rPr>
                <w:sz w:val="20"/>
                <w:szCs w:val="20"/>
              </w:rPr>
              <w:t xml:space="preserve">, парентеральных гепатитов, ВИЧ, герпеса, аденовирусов и др.), должно обладать </w:t>
            </w:r>
            <w:proofErr w:type="spellStart"/>
            <w:r w:rsidRPr="00BA70B6">
              <w:rPr>
                <w:sz w:val="20"/>
                <w:szCs w:val="20"/>
              </w:rPr>
              <w:t>овоцидными</w:t>
            </w:r>
            <w:proofErr w:type="spellEnd"/>
            <w:r w:rsidRPr="00BA70B6">
              <w:rPr>
                <w:sz w:val="20"/>
                <w:szCs w:val="20"/>
              </w:rPr>
              <w:t xml:space="preserve"> свойствами в отношении возбудителей паразитарных.</w:t>
            </w:r>
            <w:proofErr w:type="gramEnd"/>
            <w:r w:rsidRPr="00BA70B6">
              <w:rPr>
                <w:sz w:val="20"/>
                <w:szCs w:val="20"/>
              </w:rPr>
              <w:t xml:space="preserve"> Средство не должно требовать ротации (в соответствии с инструкцией). Средство должно хорошо смешиваться с водой. Средство должно сохранять свои свойства после замерзания и последующего оттаивания. Концентрированные и рабочие растворы должны быть негорючими, </w:t>
            </w:r>
            <w:proofErr w:type="spellStart"/>
            <w:r w:rsidRPr="00BA70B6">
              <w:rPr>
                <w:sz w:val="20"/>
                <w:szCs w:val="20"/>
              </w:rPr>
              <w:t>пожаробезопасными</w:t>
            </w:r>
            <w:proofErr w:type="spellEnd"/>
            <w:r w:rsidRPr="00BA70B6">
              <w:rPr>
                <w:sz w:val="20"/>
                <w:szCs w:val="20"/>
              </w:rPr>
              <w:t xml:space="preserve"> и взрывобезопасными. Рабочие растворы средства должны быть </w:t>
            </w:r>
            <w:proofErr w:type="spellStart"/>
            <w:r w:rsidRPr="00BA70B6">
              <w:rPr>
                <w:sz w:val="20"/>
                <w:szCs w:val="20"/>
              </w:rPr>
              <w:t>биоразлагаемы</w:t>
            </w:r>
            <w:proofErr w:type="spellEnd"/>
            <w:r w:rsidRPr="00BA70B6">
              <w:rPr>
                <w:sz w:val="20"/>
                <w:szCs w:val="20"/>
              </w:rPr>
              <w:t xml:space="preserve"> и экологически безопасны. Средство должно обладать моющим и </w:t>
            </w:r>
            <w:r>
              <w:rPr>
                <w:sz w:val="20"/>
                <w:szCs w:val="20"/>
              </w:rPr>
              <w:t>д</w:t>
            </w:r>
            <w:r w:rsidRPr="00BA70B6">
              <w:rPr>
                <w:sz w:val="20"/>
                <w:szCs w:val="20"/>
              </w:rPr>
              <w:t xml:space="preserve">езодорирующим эффектом, не должно вызывать коррозии </w:t>
            </w:r>
            <w:r w:rsidRPr="00BA70B6">
              <w:rPr>
                <w:sz w:val="20"/>
                <w:szCs w:val="20"/>
              </w:rPr>
              <w:lastRenderedPageBreak/>
              <w:t xml:space="preserve">металлов, повреждать обрабатываемые поверхности, не должно обесцвечивать ткани, фиксировать органические загрязнения, не должно разрушать клеевых соединений. Средство должно быть зарегистрировано в установленном законом порядке и иметь </w:t>
            </w:r>
            <w:r w:rsidRPr="00E23A4F">
              <w:rPr>
                <w:sz w:val="20"/>
                <w:szCs w:val="20"/>
              </w:rPr>
              <w:t xml:space="preserve">свидетельство о государственной регистрации. По параметрам острой токсичности при введении в желудок средство должно </w:t>
            </w:r>
          </w:p>
          <w:p w:rsidR="00CA1FBB" w:rsidRPr="00E23A4F" w:rsidRDefault="00CA1FBB" w:rsidP="00621723">
            <w:pPr>
              <w:pStyle w:val="a4"/>
              <w:rPr>
                <w:sz w:val="20"/>
                <w:szCs w:val="20"/>
              </w:rPr>
            </w:pPr>
            <w:r w:rsidRPr="00E23A4F">
              <w:rPr>
                <w:sz w:val="20"/>
                <w:szCs w:val="20"/>
              </w:rPr>
              <w:t xml:space="preserve">относиться к 3; 4 классу слабо - умеренно опасных веществ. </w:t>
            </w:r>
          </w:p>
          <w:p w:rsidR="00CA1FBB" w:rsidRPr="00BA70B6" w:rsidRDefault="00CA1FBB" w:rsidP="00621723">
            <w:pPr>
              <w:pStyle w:val="a4"/>
              <w:rPr>
                <w:rStyle w:val="FontStyle95"/>
                <w:b w:val="0"/>
                <w:bCs w:val="0"/>
                <w:sz w:val="20"/>
                <w:szCs w:val="20"/>
              </w:rPr>
            </w:pPr>
            <w:r w:rsidRPr="00E23A4F">
              <w:rPr>
                <w:sz w:val="20"/>
                <w:szCs w:val="20"/>
              </w:rPr>
              <w:t xml:space="preserve">согласно классификации ГОСТ 12.1.007-76. При введении в брюшину относится к малотоксичным веществам Классификации К.К. Сидорова. При ингаляционном воздействии в виде паров по степени летучести средство также должно быть </w:t>
            </w:r>
            <w:proofErr w:type="gramStart"/>
            <w:r w:rsidRPr="00E23A4F">
              <w:rPr>
                <w:sz w:val="20"/>
                <w:szCs w:val="20"/>
              </w:rPr>
              <w:t>мало опасно</w:t>
            </w:r>
            <w:proofErr w:type="gramEnd"/>
            <w:r w:rsidRPr="00E23A4F">
              <w:rPr>
                <w:sz w:val="20"/>
                <w:szCs w:val="20"/>
              </w:rPr>
              <w:t>.</w:t>
            </w:r>
            <w:r w:rsidRPr="00E23A4F">
              <w:rPr>
                <w:rFonts w:eastAsiaTheme="minorHAnsi"/>
                <w:sz w:val="20"/>
                <w:szCs w:val="20"/>
              </w:rPr>
              <w:t xml:space="preserve"> Плотность при 20</w:t>
            </w:r>
            <w:proofErr w:type="gramStart"/>
            <w:r w:rsidRPr="00E23A4F">
              <w:rPr>
                <w:rFonts w:eastAsiaTheme="minorHAnsi"/>
                <w:sz w:val="20"/>
                <w:szCs w:val="20"/>
              </w:rPr>
              <w:t xml:space="preserve"> °С</w:t>
            </w:r>
            <w:proofErr w:type="gramEnd"/>
            <w:r w:rsidRPr="00E23A4F">
              <w:rPr>
                <w:rFonts w:eastAsiaTheme="minorHAnsi"/>
                <w:sz w:val="20"/>
                <w:szCs w:val="20"/>
              </w:rPr>
              <w:t xml:space="preserve"> </w:t>
            </w:r>
            <w:r w:rsidRPr="00E23A4F">
              <w:rPr>
                <w:sz w:val="20"/>
                <w:szCs w:val="20"/>
              </w:rPr>
              <w:t>≥0,9, но &lt;1,2. Средство должно подходить для дезинфекции всех видов транспорта. Содержание третичного амина в средстве должно быть более или равно ноль целых пять десятых. Для получения одного литра рабочего раствора с концентрацией ноль целых пять сотых процента</w:t>
            </w:r>
            <w:r w:rsidRPr="00BA70B6">
              <w:rPr>
                <w:sz w:val="20"/>
                <w:szCs w:val="20"/>
              </w:rPr>
              <w:t xml:space="preserve"> по препарату должно быть необходимо не более одного литра воды и не более одного миллилитра средства. Для получения одного литра рабочего раствора с концентрацией ноль целых одна десятая процента по препарату должно быть необходимо не более одного литра воды и не более двух миллилитров средства. Для получения одного литра рабочего раствора с концентрацией ноль целых двадцать пять сотых процента по препарату должно быть необходимо не более одного литра воды и не более двух целых пяти десятых миллилитров средства. Для получения одного литра рабочего раствора с концентрацией ноль целых пять десятых процента по препарату должно быть необходимо не более одного литра воды и не более семи целых пяти десятых миллилитров средства. Для получения одного литра рабочего раствора с концентрацией одна целая ноль десятых процента по препарату должно быть необходимо не более одного литра воды и не более десяти миллилитров средства. Для получения одного литра рабочего раствора с концентрацией две целых ноль десятых процента по препарату должно быть необходимо не более одного литра воды и не более тридцати миллилитров средства. Для получения одного литра рабочего раствора с концентрацией три целых ноль десятых процента по препарату должно быть необходимо не более одного литра воды и не более тридцати пяти миллилитров средства. Для получения одного литра рабочего раствора с концентрацией четыре целых ноль десятых процента по препарату должно быть необходимо не более одного литра воды и не более пятидесяти миллилитров средства. Для получения одного литра рабочего раствора с концентрацией шесть целых ноль десятых процента по препарату должно быть необходимо не более одного литра воды и не более ста миллилитров средства. </w:t>
            </w:r>
            <w:r w:rsidRPr="00BA70B6">
              <w:rPr>
                <w:sz w:val="20"/>
                <w:szCs w:val="20"/>
              </w:rPr>
              <w:lastRenderedPageBreak/>
              <w:t>Для получения десяти литров рабочего раствора с концентрацией ноль целых пять сотых процента по препарату должно быть необходимо более одного литра воды и более одного миллилитра средства. Для получения десяти литров рабочего раствора с концентрацией ноль целых одна десятая процента по препарату должно быть необходимо более одного литра воды и более двух миллилитров средства. Для получения десяти литров рабочего раствора с концентрацией ноль целых двадцать пять сотых процента по препарату должно быть необходимо более одного литра воды и более двух целых пяти десятых миллилитров средства. Для получения десяти литров рабочего раствора с концентрацией ноль целых пять десятых процента по препарату должно быть необходимо более одного литра воды и более семи целых пяти десятых миллилитров средства. Для получения десяти литров рабочего раствора с концентрацией одна целая ноль десятых процента по препарату</w:t>
            </w:r>
            <w:proofErr w:type="gramStart"/>
            <w:r w:rsidRPr="00BA70B6">
              <w:rPr>
                <w:sz w:val="20"/>
                <w:szCs w:val="20"/>
              </w:rPr>
              <w:t>.</w:t>
            </w:r>
            <w:proofErr w:type="gramEnd"/>
            <w:r w:rsidRPr="00BA70B6">
              <w:rPr>
                <w:sz w:val="20"/>
                <w:szCs w:val="20"/>
              </w:rPr>
              <w:t xml:space="preserve"> </w:t>
            </w:r>
            <w:proofErr w:type="gramStart"/>
            <w:r w:rsidRPr="00BA70B6">
              <w:rPr>
                <w:sz w:val="20"/>
                <w:szCs w:val="20"/>
              </w:rPr>
              <w:t>д</w:t>
            </w:r>
            <w:proofErr w:type="gramEnd"/>
            <w:r w:rsidRPr="00BA70B6">
              <w:rPr>
                <w:sz w:val="20"/>
                <w:szCs w:val="20"/>
              </w:rPr>
              <w:t xml:space="preserve">олжно быть необходимо более одного литра воды и более десяти миллилитров средства. Для получения десяти литров рабочего раствора с концентрацией две целых ноль десятых процента по препарату должно быть необходимо более одного литра воды и более тридцати миллилитров средства. Для получения десяти литров рабочего раствора с концентрацией три целых ноль десятых процента по препарату должно быть необходимо более одного литра воды и более тридцати пяти миллилитров средства. Для получения десяти литров рабочего раствора с концентрацией четыре целых ноль десятых процента по препарату должно быть необходимо более одного литра воды и более пятидесяти миллилитров средства. Для получения десяти литров рабочего раствора с концентрацией шесть целых ноль десятых процента по препарату должно быть необходимо более одного литра воды и более ста миллилитров средства. Обеззараживание при бактериальных инфекциях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</w:t>
            </w:r>
            <w:r>
              <w:rPr>
                <w:sz w:val="20"/>
                <w:szCs w:val="20"/>
              </w:rPr>
              <w:t>:</w:t>
            </w:r>
            <w:r w:rsidRPr="00BA70B6">
              <w:rPr>
                <w:sz w:val="20"/>
                <w:szCs w:val="20"/>
              </w:rPr>
              <w:t xml:space="preserve"> 0,05 / не более 90. Обеззараживание при бактериальных инфекциях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</w:t>
            </w:r>
            <w:r>
              <w:rPr>
                <w:sz w:val="20"/>
                <w:szCs w:val="20"/>
              </w:rPr>
              <w:t>:</w:t>
            </w:r>
            <w:r w:rsidRPr="00BA70B6">
              <w:rPr>
                <w:sz w:val="20"/>
                <w:szCs w:val="20"/>
              </w:rPr>
              <w:t xml:space="preserve"> от 0,07 / не более 90. Обеззараживание при бактериальных инфекциях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</w:t>
            </w:r>
            <w:r>
              <w:rPr>
                <w:sz w:val="20"/>
                <w:szCs w:val="20"/>
              </w:rPr>
              <w:t>:</w:t>
            </w:r>
            <w:r w:rsidRPr="00BA70B6">
              <w:rPr>
                <w:sz w:val="20"/>
                <w:szCs w:val="20"/>
              </w:rPr>
              <w:t xml:space="preserve"> 0,25 /  не более 90. Обеззараживание при бактериальных инфекциях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до 0,6 / менее 90. Обеззараживание при вирусных инфекциях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более 0,1 / менее 90. </w:t>
            </w:r>
            <w:r w:rsidRPr="00BA70B6">
              <w:rPr>
                <w:sz w:val="20"/>
                <w:szCs w:val="20"/>
              </w:rPr>
              <w:lastRenderedPageBreak/>
              <w:t xml:space="preserve">Обеззараживание при вирусных инфекциях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до 0,5 / от 20. Обеззараживание при вирусных инфекциях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1  / до 30. Обеззараживание при кандидозах и </w:t>
            </w:r>
            <w:proofErr w:type="spellStart"/>
            <w:r w:rsidRPr="00BA70B6">
              <w:rPr>
                <w:sz w:val="20"/>
                <w:szCs w:val="20"/>
              </w:rPr>
              <w:t>дерматофитиях</w:t>
            </w:r>
            <w:proofErr w:type="spellEnd"/>
            <w:r w:rsidRPr="00BA70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0,3-0,6 / 5-90. Обеззараживание при кандидозах и </w:t>
            </w:r>
            <w:proofErr w:type="spellStart"/>
            <w:r w:rsidRPr="00BA70B6">
              <w:rPr>
                <w:sz w:val="20"/>
                <w:szCs w:val="20"/>
              </w:rPr>
              <w:t>дерматофитиях</w:t>
            </w:r>
            <w:proofErr w:type="spellEnd"/>
            <w:r w:rsidRPr="00BA70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0,8-1,1 / 10-60. Обеззараживание при анаэробных инфекциях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&lt;0,8 / 30-60. Обеззараживание при анаэробных инфекциях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0,8-1,4 / 30-60. Обеззараживание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в отношении возбудителей паразитарных болезней должно проводиться растворами в режиме (концентрация раствора/время обеззараживания): 0,6-1,1 / 15-75. Обеззараживание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в отношении возбудителей паразитарных болезней должно проводиться растворами в режиме (концентрация раствора/время обеззараживания): &gt;1,5 / до 60. Обеззараживание при поражениях плесневыми грибами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&lt;3 / от 30. Обеззараживание при поражениях плесневыми грибами </w:t>
            </w:r>
            <w:r>
              <w:rPr>
                <w:sz w:val="20"/>
                <w:szCs w:val="20"/>
              </w:rPr>
              <w:t>транспортных средств</w:t>
            </w:r>
            <w:r w:rsidRPr="00BA70B6">
              <w:rPr>
                <w:sz w:val="20"/>
                <w:szCs w:val="20"/>
              </w:rPr>
              <w:t xml:space="preserve"> должно проводиться растворами в режиме (концентрация раствора/время обеззараживания): не &lt;3 / от 30.</w:t>
            </w:r>
          </w:p>
        </w:tc>
        <w:tc>
          <w:tcPr>
            <w:tcW w:w="548" w:type="pct"/>
            <w:vAlign w:val="center"/>
          </w:tcPr>
          <w:p w:rsidR="00CA1FBB" w:rsidRPr="00BA70B6" w:rsidRDefault="00CA1FBB" w:rsidP="0062172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29" w:type="pct"/>
            <w:vAlign w:val="center"/>
          </w:tcPr>
          <w:p w:rsidR="00CA1FBB" w:rsidRPr="00BA70B6" w:rsidRDefault="00CA1FBB" w:rsidP="00DD3BD6">
            <w:pPr>
              <w:pStyle w:val="a4"/>
              <w:jc w:val="center"/>
              <w:rPr>
                <w:rStyle w:val="FontStyle91"/>
                <w:sz w:val="20"/>
                <w:szCs w:val="20"/>
              </w:rPr>
            </w:pPr>
            <w:proofErr w:type="gramStart"/>
            <w:r>
              <w:rPr>
                <w:rStyle w:val="FontStyle91"/>
                <w:sz w:val="20"/>
                <w:szCs w:val="20"/>
              </w:rPr>
              <w:t>л</w:t>
            </w:r>
            <w:proofErr w:type="gramEnd"/>
            <w:r w:rsidRPr="00BA70B6">
              <w:rPr>
                <w:rStyle w:val="FontStyle91"/>
                <w:sz w:val="20"/>
                <w:szCs w:val="20"/>
              </w:rPr>
              <w:t>.</w:t>
            </w:r>
          </w:p>
        </w:tc>
        <w:tc>
          <w:tcPr>
            <w:tcW w:w="320" w:type="pct"/>
            <w:vAlign w:val="center"/>
          </w:tcPr>
          <w:p w:rsidR="00CA1FBB" w:rsidRPr="00BA70B6" w:rsidRDefault="00CA1FBB" w:rsidP="00DD3BD6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40 л.</w:t>
            </w:r>
          </w:p>
        </w:tc>
        <w:tc>
          <w:tcPr>
            <w:tcW w:w="531" w:type="pct"/>
            <w:vAlign w:val="center"/>
          </w:tcPr>
          <w:p w:rsidR="00CA1FBB" w:rsidRPr="00BA70B6" w:rsidRDefault="00CA1FBB" w:rsidP="00621723">
            <w:pPr>
              <w:pStyle w:val="a4"/>
              <w:rPr>
                <w:sz w:val="20"/>
                <w:szCs w:val="20"/>
              </w:rPr>
            </w:pPr>
          </w:p>
        </w:tc>
      </w:tr>
    </w:tbl>
    <w:p w:rsidR="00CA1FBB" w:rsidRPr="00CA1FBB" w:rsidRDefault="00CA1FBB" w:rsidP="00CA1FBB">
      <w:pPr>
        <w:jc w:val="right"/>
        <w:rPr>
          <w:lang w:val="ru-RU"/>
        </w:rPr>
      </w:pPr>
    </w:p>
    <w:sectPr w:rsidR="00CA1FBB" w:rsidRPr="00CA1FBB" w:rsidSect="00CA1F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FBB"/>
    <w:rsid w:val="002D6A08"/>
    <w:rsid w:val="003A7088"/>
    <w:rsid w:val="00426C43"/>
    <w:rsid w:val="00A526B8"/>
    <w:rsid w:val="00CA1FBB"/>
    <w:rsid w:val="00DD3BD6"/>
    <w:rsid w:val="00F2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1FBB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F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5">
    <w:name w:val="Font Style95"/>
    <w:rsid w:val="00CA1F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91">
    <w:name w:val="Font Style91"/>
    <w:rsid w:val="00CA1FBB"/>
    <w:rPr>
      <w:rFonts w:ascii="Times New Roman" w:hAnsi="Times New Roman" w:cs="Times New Roman"/>
      <w:sz w:val="22"/>
      <w:szCs w:val="22"/>
    </w:rPr>
  </w:style>
  <w:style w:type="paragraph" w:styleId="a4">
    <w:name w:val="No Spacing"/>
    <w:uiPriority w:val="1"/>
    <w:qFormat/>
    <w:rsid w:val="00CA1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1FBB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F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5">
    <w:name w:val="Font Style95"/>
    <w:rsid w:val="00CA1F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91">
    <w:name w:val="Font Style91"/>
    <w:rsid w:val="00CA1FBB"/>
    <w:rPr>
      <w:rFonts w:ascii="Times New Roman" w:hAnsi="Times New Roman" w:cs="Times New Roman"/>
      <w:sz w:val="22"/>
      <w:szCs w:val="22"/>
    </w:rPr>
  </w:style>
  <w:style w:type="paragraph" w:styleId="a4">
    <w:name w:val="No Spacing"/>
    <w:uiPriority w:val="1"/>
    <w:qFormat/>
    <w:rsid w:val="00CA1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user</cp:lastModifiedBy>
  <cp:revision>4</cp:revision>
  <dcterms:created xsi:type="dcterms:W3CDTF">2014-10-07T07:03:00Z</dcterms:created>
  <dcterms:modified xsi:type="dcterms:W3CDTF">2014-10-07T07:13:00Z</dcterms:modified>
</cp:coreProperties>
</file>