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8F9" w:rsidRPr="002868F9" w:rsidRDefault="002868F9" w:rsidP="002868F9">
      <w:pPr>
        <w:shd w:val="clear" w:color="auto" w:fill="FFFFFF"/>
        <w:spacing w:after="0" w:line="240" w:lineRule="auto"/>
        <w:rPr>
          <w:rFonts w:ascii="Trebuchet MS" w:eastAsia="Times New Roman" w:hAnsi="Trebuchet MS" w:cs="Arial"/>
          <w:b/>
          <w:bCs/>
          <w:color w:val="3B3B3B"/>
          <w:sz w:val="29"/>
          <w:szCs w:val="29"/>
          <w:lang w:eastAsia="ru-RU"/>
        </w:rPr>
      </w:pPr>
      <w:r w:rsidRPr="002868F9">
        <w:rPr>
          <w:rFonts w:ascii="Trebuchet MS" w:eastAsia="Times New Roman" w:hAnsi="Trebuchet MS" w:cs="Arial"/>
          <w:b/>
          <w:bCs/>
          <w:color w:val="3B3B3B"/>
          <w:sz w:val="29"/>
          <w:szCs w:val="29"/>
          <w:lang w:eastAsia="ru-RU"/>
        </w:rPr>
        <w:t>Укрупнение лота (объединение закупок в один лот)</w:t>
      </w:r>
    </w:p>
    <w:p w:rsidR="002868F9" w:rsidRPr="002868F9" w:rsidRDefault="002868F9" w:rsidP="002868F9">
      <w:pPr>
        <w:shd w:val="clear" w:color="auto" w:fill="FFFFFF"/>
        <w:spacing w:before="100" w:beforeAutospacing="1" w:after="100" w:afterAutospacing="1" w:line="240" w:lineRule="auto"/>
        <w:rPr>
          <w:rFonts w:ascii="Arial" w:eastAsia="Times New Roman" w:hAnsi="Arial" w:cs="Arial"/>
          <w:color w:val="3B3B3B"/>
          <w:sz w:val="23"/>
          <w:szCs w:val="23"/>
          <w:lang w:eastAsia="ru-RU"/>
        </w:rPr>
      </w:pPr>
      <w:r w:rsidRPr="002868F9">
        <w:rPr>
          <w:rFonts w:ascii="Arial" w:eastAsia="Times New Roman" w:hAnsi="Arial" w:cs="Arial"/>
          <w:color w:val="3B3B3B"/>
          <w:sz w:val="23"/>
          <w:szCs w:val="23"/>
          <w:lang w:eastAsia="ru-RU"/>
        </w:rPr>
        <w:t xml:space="preserve">Предприятие планирует произвести на конкурсной основе следующую закупку, </w:t>
      </w:r>
      <w:proofErr w:type="spellStart"/>
      <w:r w:rsidRPr="002868F9">
        <w:rPr>
          <w:rFonts w:ascii="Arial" w:eastAsia="Times New Roman" w:hAnsi="Arial" w:cs="Arial"/>
          <w:color w:val="3B3B3B"/>
          <w:sz w:val="23"/>
          <w:szCs w:val="23"/>
          <w:lang w:eastAsia="ru-RU"/>
        </w:rPr>
        <w:t>объеденив</w:t>
      </w:r>
      <w:proofErr w:type="spellEnd"/>
      <w:r w:rsidRPr="002868F9">
        <w:rPr>
          <w:rFonts w:ascii="Arial" w:eastAsia="Times New Roman" w:hAnsi="Arial" w:cs="Arial"/>
          <w:color w:val="3B3B3B"/>
          <w:sz w:val="23"/>
          <w:szCs w:val="23"/>
          <w:lang w:eastAsia="ru-RU"/>
        </w:rPr>
        <w:t xml:space="preserve"> это все в один лот: капитальный </w:t>
      </w:r>
      <w:proofErr w:type="spellStart"/>
      <w:r w:rsidRPr="002868F9">
        <w:rPr>
          <w:rFonts w:ascii="Arial" w:eastAsia="Times New Roman" w:hAnsi="Arial" w:cs="Arial"/>
          <w:color w:val="3B3B3B"/>
          <w:sz w:val="23"/>
          <w:szCs w:val="23"/>
          <w:lang w:eastAsia="ru-RU"/>
        </w:rPr>
        <w:t>ремон</w:t>
      </w:r>
      <w:proofErr w:type="spellEnd"/>
      <w:r w:rsidRPr="002868F9">
        <w:rPr>
          <w:rFonts w:ascii="Arial" w:eastAsia="Times New Roman" w:hAnsi="Arial" w:cs="Arial"/>
          <w:color w:val="3B3B3B"/>
          <w:sz w:val="23"/>
          <w:szCs w:val="23"/>
          <w:lang w:eastAsia="ru-RU"/>
        </w:rPr>
        <w:t xml:space="preserve"> </w:t>
      </w:r>
      <w:proofErr w:type="spellStart"/>
      <w:r w:rsidRPr="002868F9">
        <w:rPr>
          <w:rFonts w:ascii="Arial" w:eastAsia="Times New Roman" w:hAnsi="Arial" w:cs="Arial"/>
          <w:color w:val="3B3B3B"/>
          <w:sz w:val="23"/>
          <w:szCs w:val="23"/>
          <w:lang w:eastAsia="ru-RU"/>
        </w:rPr>
        <w:t>офисновго</w:t>
      </w:r>
      <w:proofErr w:type="spellEnd"/>
      <w:r w:rsidRPr="002868F9">
        <w:rPr>
          <w:rFonts w:ascii="Arial" w:eastAsia="Times New Roman" w:hAnsi="Arial" w:cs="Arial"/>
          <w:color w:val="3B3B3B"/>
          <w:sz w:val="23"/>
          <w:szCs w:val="23"/>
          <w:lang w:eastAsia="ru-RU"/>
        </w:rPr>
        <w:t xml:space="preserve"> помещения</w:t>
      </w:r>
      <w:r w:rsidRPr="002868F9">
        <w:rPr>
          <w:rFonts w:ascii="Arial" w:eastAsia="Times New Roman" w:hAnsi="Arial" w:cs="Arial"/>
          <w:color w:val="3B3B3B"/>
          <w:sz w:val="23"/>
          <w:szCs w:val="23"/>
          <w:lang w:eastAsia="ru-RU"/>
        </w:rPr>
        <w:br/>
        <w:t>создание в нем кабельной компьютерной сети</w:t>
      </w:r>
      <w:r w:rsidRPr="002868F9">
        <w:rPr>
          <w:rFonts w:ascii="Arial" w:eastAsia="Times New Roman" w:hAnsi="Arial" w:cs="Arial"/>
          <w:color w:val="3B3B3B"/>
          <w:sz w:val="23"/>
          <w:szCs w:val="23"/>
          <w:lang w:eastAsia="ru-RU"/>
        </w:rPr>
        <w:br/>
      </w:r>
      <w:proofErr w:type="spellStart"/>
      <w:r w:rsidRPr="002868F9">
        <w:rPr>
          <w:rFonts w:ascii="Arial" w:eastAsia="Times New Roman" w:hAnsi="Arial" w:cs="Arial"/>
          <w:color w:val="3B3B3B"/>
          <w:sz w:val="23"/>
          <w:szCs w:val="23"/>
          <w:lang w:eastAsia="ru-RU"/>
        </w:rPr>
        <w:t>оснащенеи</w:t>
      </w:r>
      <w:proofErr w:type="spellEnd"/>
      <w:r w:rsidRPr="002868F9">
        <w:rPr>
          <w:rFonts w:ascii="Arial" w:eastAsia="Times New Roman" w:hAnsi="Arial" w:cs="Arial"/>
          <w:color w:val="3B3B3B"/>
          <w:sz w:val="23"/>
          <w:szCs w:val="23"/>
          <w:lang w:eastAsia="ru-RU"/>
        </w:rPr>
        <w:t xml:space="preserve"> рабочих мест мебелью.</w:t>
      </w:r>
      <w:r w:rsidRPr="002868F9">
        <w:rPr>
          <w:rFonts w:ascii="Arial" w:eastAsia="Times New Roman" w:hAnsi="Arial" w:cs="Arial"/>
          <w:color w:val="3B3B3B"/>
          <w:sz w:val="23"/>
          <w:szCs w:val="23"/>
          <w:lang w:eastAsia="ru-RU"/>
        </w:rPr>
        <w:br/>
        <w:t xml:space="preserve">Объединение в один лот обусловлено желанием Заказчика сосредоточения функций управления стадиями исполнения договора и </w:t>
      </w:r>
      <w:proofErr w:type="spellStart"/>
      <w:proofErr w:type="gramStart"/>
      <w:r w:rsidRPr="002868F9">
        <w:rPr>
          <w:rFonts w:ascii="Arial" w:eastAsia="Times New Roman" w:hAnsi="Arial" w:cs="Arial"/>
          <w:color w:val="3B3B3B"/>
          <w:sz w:val="23"/>
          <w:szCs w:val="23"/>
          <w:lang w:eastAsia="ru-RU"/>
        </w:rPr>
        <w:t>и</w:t>
      </w:r>
      <w:proofErr w:type="spellEnd"/>
      <w:proofErr w:type="gramEnd"/>
      <w:r w:rsidRPr="002868F9">
        <w:rPr>
          <w:rFonts w:ascii="Arial" w:eastAsia="Times New Roman" w:hAnsi="Arial" w:cs="Arial"/>
          <w:color w:val="3B3B3B"/>
          <w:sz w:val="23"/>
          <w:szCs w:val="23"/>
          <w:lang w:eastAsia="ru-RU"/>
        </w:rPr>
        <w:t xml:space="preserve"> осуществить данную работу как единый непрерывный комплексный процесс "под ключ".</w:t>
      </w:r>
      <w:r w:rsidRPr="002868F9">
        <w:rPr>
          <w:rFonts w:ascii="Arial" w:eastAsia="Times New Roman" w:hAnsi="Arial" w:cs="Arial"/>
          <w:color w:val="3B3B3B"/>
          <w:sz w:val="23"/>
          <w:szCs w:val="23"/>
          <w:lang w:eastAsia="ru-RU"/>
        </w:rPr>
        <w:br/>
        <w:t xml:space="preserve">Будет ли данная закупка противоречит 223-ФЗ в части ограничения конкуренции? </w:t>
      </w:r>
    </w:p>
    <w:p w:rsidR="00016346" w:rsidRPr="00AD6AC7" w:rsidRDefault="00016346" w:rsidP="002868F9"/>
    <w:p w:rsidR="002868F9" w:rsidRPr="002868F9" w:rsidRDefault="002868F9" w:rsidP="002868F9">
      <w:pPr>
        <w:shd w:val="clear" w:color="auto" w:fill="F3F5F2"/>
        <w:spacing w:after="150" w:line="240" w:lineRule="auto"/>
        <w:rPr>
          <w:rFonts w:ascii="Trebuchet MS" w:eastAsia="Times New Roman" w:hAnsi="Trebuchet MS" w:cs="Arial"/>
          <w:b/>
          <w:bCs/>
          <w:color w:val="555555"/>
          <w:sz w:val="24"/>
          <w:szCs w:val="24"/>
          <w:lang w:eastAsia="ru-RU"/>
        </w:rPr>
      </w:pPr>
      <w:r w:rsidRPr="002868F9">
        <w:rPr>
          <w:rFonts w:ascii="Trebuchet MS" w:eastAsia="Times New Roman" w:hAnsi="Trebuchet MS" w:cs="Arial"/>
          <w:b/>
          <w:bCs/>
          <w:color w:val="555555"/>
          <w:sz w:val="24"/>
          <w:szCs w:val="24"/>
          <w:lang w:eastAsia="ru-RU"/>
        </w:rPr>
        <w:t>Ответ на вопрос</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Напрямую Ваш вопрос ФЗ № 223-ФЗ не урегулирован.</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Ч. 10 ст. 3 ФЗ № 223-ФЗ устанавливает, что участник закупки вправе обжаловать в антимонопольный орган в порядке, установленном антимонопольным органом, действия (бездействие) заказчика при закупке товаров, работ, услуг в случаях:</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1) не размещения в единой информационной системе положения о закупке, изменений, вносимых в указанное положение, информации о закупке, подлежащей в соответствии с настоящим Федеральным законом размещению в единой информационной системе, или нарушения сроков такого размещения;</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2) предъявления к участникам закупки требования о представлении документов, не предусмотренных документацией о закупке;</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3) осуществления заказчиками закупки товаров, работ, услуг в отсутствие утвержденного и размещенного в единой информационной системе положения о закупке и без применения положений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4) не размещения или размещения в единой информационной системе недостоверной информации о годовом объеме закупки, которую заказчики обязаны осуществить у субъектов малого и среднего предпринимательства.</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Таким образом, ФЗ № 223-ФЗ устанавливает перечень случаев, при которых могут быть поданы жалобы участниками закупок по ФЗ № 223-ФЗ.</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 xml:space="preserve">При этом в соответствии с ч. 1 ст. 18.1 ФЗ № 135-ФЗ «О защите конкуренции» (далее – ФЗ № 135-ФЗ) антимонопольный орган рассматривает жалобы на действия (бездействие) заказчиков при осуществлении закупок в соответствии с ФЗ N 223-ФЗ </w:t>
      </w:r>
      <w:r w:rsidRPr="002868F9">
        <w:rPr>
          <w:rFonts w:ascii="Arial" w:eastAsia="Times New Roman" w:hAnsi="Arial" w:cs="Arial"/>
          <w:i/>
          <w:iCs/>
          <w:color w:val="555555"/>
          <w:sz w:val="20"/>
          <w:szCs w:val="20"/>
          <w:lang w:eastAsia="ru-RU"/>
        </w:rPr>
        <w:t>в порядке, предусмотренном в ст. 18.1 Закона N 135-ФЗ.</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 xml:space="preserve">В свою очередь, согласно ч. 17 ст. 18.1. ФЗ № 135-ФЗ при рассмотрении жалобы по существу комиссия антимонопольного органа рассматривает обжалуемые действия (бездействие) организатора торгов, оператора электронной площадки, конкурсной или аукционной комиссии. </w:t>
      </w:r>
      <w:r w:rsidRPr="002868F9">
        <w:rPr>
          <w:rFonts w:ascii="Arial" w:eastAsia="Times New Roman" w:hAnsi="Arial" w:cs="Arial"/>
          <w:b/>
          <w:bCs/>
          <w:color w:val="555555"/>
          <w:sz w:val="20"/>
          <w:szCs w:val="20"/>
          <w:lang w:eastAsia="ru-RU"/>
        </w:rPr>
        <w:t xml:space="preserve">В случае, </w:t>
      </w:r>
      <w:r w:rsidRPr="002868F9">
        <w:rPr>
          <w:rFonts w:ascii="Arial" w:eastAsia="Times New Roman" w:hAnsi="Arial" w:cs="Arial"/>
          <w:b/>
          <w:bCs/>
          <w:i/>
          <w:iCs/>
          <w:color w:val="555555"/>
          <w:sz w:val="20"/>
          <w:szCs w:val="20"/>
          <w:lang w:eastAsia="ru-RU"/>
        </w:rPr>
        <w:t>если в ходе рассмотрения жалобы</w:t>
      </w:r>
      <w:r w:rsidRPr="002868F9">
        <w:rPr>
          <w:rFonts w:ascii="Arial" w:eastAsia="Times New Roman" w:hAnsi="Arial" w:cs="Arial"/>
          <w:b/>
          <w:bCs/>
          <w:color w:val="555555"/>
          <w:sz w:val="20"/>
          <w:szCs w:val="20"/>
          <w:lang w:eastAsia="ru-RU"/>
        </w:rPr>
        <w:t xml:space="preserve"> комиссией антимонопольного органа установлены иные нарушения в действиях (бездействии) организатора торгов, оператора электронной площадки, конкурсной или аукционной комиссии, комиссия антимонопольного органа принимает решение с учетом всех выявленных нарушений.</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 xml:space="preserve">В свою очередь, согласно </w:t>
      </w:r>
      <w:r w:rsidRPr="002868F9">
        <w:rPr>
          <w:rFonts w:ascii="Arial" w:eastAsia="Times New Roman" w:hAnsi="Arial" w:cs="Arial"/>
          <w:b/>
          <w:bCs/>
          <w:color w:val="555555"/>
          <w:sz w:val="20"/>
          <w:szCs w:val="20"/>
          <w:lang w:eastAsia="ru-RU"/>
        </w:rPr>
        <w:t>ч. 1 ст. 17</w:t>
      </w:r>
      <w:r w:rsidRPr="002868F9">
        <w:rPr>
          <w:rFonts w:ascii="Arial" w:eastAsia="Times New Roman" w:hAnsi="Arial" w:cs="Arial"/>
          <w:color w:val="555555"/>
          <w:sz w:val="20"/>
          <w:szCs w:val="20"/>
          <w:lang w:eastAsia="ru-RU"/>
        </w:rPr>
        <w:t xml:space="preserve"> ФЗ № 135-ФЗ </w:t>
      </w:r>
      <w:r w:rsidRPr="002868F9">
        <w:rPr>
          <w:rFonts w:ascii="Arial" w:eastAsia="Times New Roman" w:hAnsi="Arial" w:cs="Arial"/>
          <w:b/>
          <w:bCs/>
          <w:color w:val="555555"/>
          <w:sz w:val="20"/>
          <w:szCs w:val="20"/>
          <w:lang w:eastAsia="ru-RU"/>
        </w:rPr>
        <w:t>при проведении торгов, запроса котировок цен на товары (далее - запрос котировок), запроса предложений запрещаются действия, которые приводят или могут привести к недопущению, ограничению или устранению конкуренции,</w:t>
      </w:r>
      <w:r w:rsidRPr="002868F9">
        <w:rPr>
          <w:rFonts w:ascii="Arial" w:eastAsia="Times New Roman" w:hAnsi="Arial" w:cs="Arial"/>
          <w:color w:val="555555"/>
          <w:sz w:val="20"/>
          <w:szCs w:val="20"/>
          <w:lang w:eastAsia="ru-RU"/>
        </w:rPr>
        <w:t xml:space="preserve"> </w:t>
      </w:r>
      <w:r w:rsidRPr="002868F9">
        <w:rPr>
          <w:rFonts w:ascii="Arial" w:eastAsia="Times New Roman" w:hAnsi="Arial" w:cs="Arial"/>
          <w:i/>
          <w:iCs/>
          <w:color w:val="555555"/>
          <w:sz w:val="20"/>
          <w:szCs w:val="20"/>
          <w:lang w:eastAsia="ru-RU"/>
        </w:rPr>
        <w:t>в том числе:</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lastRenderedPageBreak/>
        <w:t>1) координация организаторами торгов, запроса котировок, запроса предложений или заказчиками деятельности их участников;</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2) создание участнику торгов, запроса котировок, запроса предложений или нескольким участникам торгов, запроса котировок, запроса предложений преимущественных условий участия в торгах, запросе котировок, запросе предложений, в том числе путем доступа к информации, если иное не установлено федеральным законом;</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3) нарушение порядка определения победителя или победителей торгов, запроса котировок, запроса предложений;</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4) участие организаторов торгов, запроса котировок, запроса предложений или заказчиков и (или) работников организаторов или работников заказчиков в торгах, запросе котировок, запросе предложений.</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 xml:space="preserve">Данный перечень не является исчерпывающим, то есть запрещаются </w:t>
      </w:r>
      <w:r w:rsidRPr="002868F9">
        <w:rPr>
          <w:rFonts w:ascii="Arial" w:eastAsia="Times New Roman" w:hAnsi="Arial" w:cs="Arial"/>
          <w:b/>
          <w:bCs/>
          <w:i/>
          <w:iCs/>
          <w:color w:val="555555"/>
          <w:sz w:val="20"/>
          <w:szCs w:val="20"/>
          <w:lang w:eastAsia="ru-RU"/>
        </w:rPr>
        <w:t xml:space="preserve">любые </w:t>
      </w:r>
      <w:r w:rsidRPr="002868F9">
        <w:rPr>
          <w:rFonts w:ascii="Arial" w:eastAsia="Times New Roman" w:hAnsi="Arial" w:cs="Arial"/>
          <w:color w:val="555555"/>
          <w:sz w:val="20"/>
          <w:szCs w:val="20"/>
          <w:lang w:eastAsia="ru-RU"/>
        </w:rPr>
        <w:t>действия,</w:t>
      </w:r>
      <w:r w:rsidRPr="002868F9">
        <w:rPr>
          <w:rFonts w:ascii="Arial" w:eastAsia="Times New Roman" w:hAnsi="Arial" w:cs="Arial"/>
          <w:b/>
          <w:bCs/>
          <w:color w:val="555555"/>
          <w:sz w:val="20"/>
          <w:szCs w:val="20"/>
          <w:lang w:eastAsia="ru-RU"/>
        </w:rPr>
        <w:t xml:space="preserve"> которые приводят или могут привести к недопущению, ограничению или устранению конкуренции.</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Кроме того, согласно ч. 4 ст. 17 ФЗ № 135-ФЗ нарушение правил, установленных настоящей статьей, является основанием для признания судом соответствующих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в том числе по иску антимонопольного органа.</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b/>
          <w:bCs/>
          <w:color w:val="555555"/>
          <w:sz w:val="20"/>
          <w:szCs w:val="20"/>
          <w:lang w:eastAsia="ru-RU"/>
        </w:rPr>
        <w:t>В соответствии с ч. 5 ст. 17 ФЗ № 135-ФЗ положения ч. 1 настоящей статьи распространяются, в том числе, на все закупки товаров, работ, услуг, осуществляемые в соответствии с Федеральным законом от 18 июля 2011 года N 223-ФЗ "О закупках товаров, работ, услуг отдельными видами юридических лиц".</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b/>
          <w:bCs/>
          <w:color w:val="555555"/>
          <w:sz w:val="20"/>
          <w:szCs w:val="20"/>
          <w:lang w:eastAsia="ru-RU"/>
        </w:rPr>
        <w:t xml:space="preserve">То есть при рассмотрении жалоб, поданных в порядке ст. 18.1. ФЗ № 135-ФЗ могут быть выявлены нарушения заказчиками ч. 1 ст. 17 ФЗ № 135-ФЗ при осуществлении закупок по ФЗ № 223-ФЗ. </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Так, например, Решением Еврейского УФАС России от 31.03.2014 по делу N Т-01/05 муниципальное казенное учреждение признано нарушившим ч. 1 ст. 17 ФЗ "О защите конкуренции"; Решением Ханты-Мансийского УФАС России от 05.11.2013 по делу N 05-06-257-2013 было установлено совершение заказчиком действий, которые приводят или могут привести к недопущению, ограничению или устранению конкуренции.</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 xml:space="preserve">Соответственно, нельзя исключать, что </w:t>
      </w:r>
      <w:r w:rsidRPr="002868F9">
        <w:rPr>
          <w:rFonts w:ascii="Arial" w:eastAsia="Times New Roman" w:hAnsi="Arial" w:cs="Arial"/>
          <w:i/>
          <w:iCs/>
          <w:color w:val="555555"/>
          <w:sz w:val="20"/>
          <w:szCs w:val="20"/>
          <w:lang w:eastAsia="ru-RU"/>
        </w:rPr>
        <w:t>при подаче жалобы в порядке ст. 18.1 ФЗ № 135-ФЗ на закупку</w:t>
      </w:r>
      <w:r w:rsidRPr="002868F9">
        <w:rPr>
          <w:rFonts w:ascii="Arial" w:eastAsia="Times New Roman" w:hAnsi="Arial" w:cs="Arial"/>
          <w:color w:val="555555"/>
          <w:sz w:val="20"/>
          <w:szCs w:val="20"/>
          <w:lang w:eastAsia="ru-RU"/>
        </w:rPr>
        <w:t xml:space="preserve"> по ФЗ № 223-ФЗ указанное Вами «укрупнение лота» будет признано действиями, которые приводят или могут привести к недопущению, ограничению или устранению конкуренции (так как запрещаются любые действия). Так, например, могут существовать потенциальные участники, которые могут выполнить один из заявленных видов работ (например, осуществить поставку мебели), но укрупнение лота не позволяет им участвовать в закупке. Но этого может и не произойти (т. е. </w:t>
      </w:r>
      <w:r w:rsidRPr="002868F9">
        <w:rPr>
          <w:rFonts w:ascii="Arial" w:eastAsia="Times New Roman" w:hAnsi="Arial" w:cs="Arial"/>
          <w:b/>
          <w:bCs/>
          <w:i/>
          <w:iCs/>
          <w:color w:val="555555"/>
          <w:sz w:val="20"/>
          <w:szCs w:val="20"/>
          <w:lang w:eastAsia="ru-RU"/>
        </w:rPr>
        <w:t>можно говорить о существовании риска признания заказчика нарушившим ч. 1 ст. 17 ФЗ № 135-ФЗ).</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Кроме того, напомним, что согласно ст. 3 ФЗ № 223-ФЗ при закупке товаров, работ, услуг заказчики руководствуются следующими принципами:</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1) информационная открытость закупки;</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 xml:space="preserve">2) равноправие, справедливость, отсутствие дискриминации и </w:t>
      </w:r>
      <w:r w:rsidRPr="002868F9">
        <w:rPr>
          <w:rFonts w:ascii="Arial" w:eastAsia="Times New Roman" w:hAnsi="Arial" w:cs="Arial"/>
          <w:i/>
          <w:iCs/>
          <w:color w:val="555555"/>
          <w:sz w:val="20"/>
          <w:szCs w:val="20"/>
          <w:lang w:eastAsia="ru-RU"/>
        </w:rPr>
        <w:t xml:space="preserve">необоснованных ограничений конкуренции </w:t>
      </w:r>
      <w:r w:rsidRPr="002868F9">
        <w:rPr>
          <w:rFonts w:ascii="Arial" w:eastAsia="Times New Roman" w:hAnsi="Arial" w:cs="Arial"/>
          <w:color w:val="555555"/>
          <w:sz w:val="20"/>
          <w:szCs w:val="20"/>
          <w:lang w:eastAsia="ru-RU"/>
        </w:rPr>
        <w:t>по отношению к участникам закупки;</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 xml:space="preserve">3) </w:t>
      </w:r>
      <w:r w:rsidRPr="002868F9">
        <w:rPr>
          <w:rFonts w:ascii="Arial" w:eastAsia="Times New Roman" w:hAnsi="Arial" w:cs="Arial"/>
          <w:b/>
          <w:bCs/>
          <w:color w:val="555555"/>
          <w:sz w:val="20"/>
          <w:szCs w:val="20"/>
          <w:lang w:eastAsia="ru-RU"/>
        </w:rPr>
        <w:t>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lastRenderedPageBreak/>
        <w:t xml:space="preserve">4) отсутствие ограничения допуска к участию в закупке путем установления </w:t>
      </w:r>
      <w:proofErr w:type="spellStart"/>
      <w:r w:rsidRPr="002868F9">
        <w:rPr>
          <w:rFonts w:ascii="Arial" w:eastAsia="Times New Roman" w:hAnsi="Arial" w:cs="Arial"/>
          <w:color w:val="555555"/>
          <w:sz w:val="20"/>
          <w:szCs w:val="20"/>
          <w:lang w:eastAsia="ru-RU"/>
        </w:rPr>
        <w:t>неизмеряемых</w:t>
      </w:r>
      <w:proofErr w:type="spellEnd"/>
      <w:r w:rsidRPr="002868F9">
        <w:rPr>
          <w:rFonts w:ascii="Arial" w:eastAsia="Times New Roman" w:hAnsi="Arial" w:cs="Arial"/>
          <w:color w:val="555555"/>
          <w:sz w:val="20"/>
          <w:szCs w:val="20"/>
          <w:lang w:eastAsia="ru-RU"/>
        </w:rPr>
        <w:t xml:space="preserve"> требований к участникам закупки.</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Представляется, что при разделении закупок круг участников закупки увеличится, и расходование денежных средств будет более эффективным (экономным).</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Поэтому, с учетом вышеизложенного, мы рекомендуем Вам рассмотреть вопрос о проведении отдельных закупок на:</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 капитальный ремонт офисного помещения;</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 создание кабельной компьютерной сети;</w:t>
      </w:r>
    </w:p>
    <w:p w:rsidR="002868F9" w:rsidRPr="002868F9" w:rsidRDefault="002868F9" w:rsidP="002868F9">
      <w:pPr>
        <w:shd w:val="clear" w:color="auto" w:fill="F3F5F2"/>
        <w:spacing w:before="100" w:beforeAutospacing="1" w:after="100" w:afterAutospacing="1" w:line="240" w:lineRule="auto"/>
        <w:rPr>
          <w:rFonts w:ascii="Arial" w:eastAsia="Times New Roman" w:hAnsi="Arial" w:cs="Arial"/>
          <w:color w:val="555555"/>
          <w:sz w:val="20"/>
          <w:szCs w:val="20"/>
          <w:lang w:eastAsia="ru-RU"/>
        </w:rPr>
      </w:pPr>
      <w:r w:rsidRPr="002868F9">
        <w:rPr>
          <w:rFonts w:ascii="Arial" w:eastAsia="Times New Roman" w:hAnsi="Arial" w:cs="Arial"/>
          <w:color w:val="555555"/>
          <w:sz w:val="20"/>
          <w:szCs w:val="20"/>
          <w:lang w:eastAsia="ru-RU"/>
        </w:rPr>
        <w:t>- оснащение рабочих мест мебелью.</w:t>
      </w:r>
    </w:p>
    <w:p w:rsidR="002868F9" w:rsidRPr="002868F9" w:rsidRDefault="002868F9" w:rsidP="002868F9">
      <w:bookmarkStart w:id="0" w:name="_GoBack"/>
      <w:bookmarkEnd w:id="0"/>
    </w:p>
    <w:sectPr w:rsidR="002868F9" w:rsidRPr="002868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8F9"/>
    <w:rsid w:val="00016346"/>
    <w:rsid w:val="002868F9"/>
    <w:rsid w:val="00AD6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868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2868F9"/>
    <w:rPr>
      <w:i/>
      <w:iCs/>
    </w:rPr>
  </w:style>
  <w:style w:type="character" w:styleId="a5">
    <w:name w:val="Strong"/>
    <w:basedOn w:val="a0"/>
    <w:uiPriority w:val="22"/>
    <w:qFormat/>
    <w:rsid w:val="002868F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868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2868F9"/>
    <w:rPr>
      <w:i/>
      <w:iCs/>
    </w:rPr>
  </w:style>
  <w:style w:type="character" w:styleId="a5">
    <w:name w:val="Strong"/>
    <w:basedOn w:val="a0"/>
    <w:uiPriority w:val="22"/>
    <w:qFormat/>
    <w:rsid w:val="002868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676926">
      <w:bodyDiv w:val="1"/>
      <w:marLeft w:val="0"/>
      <w:marRight w:val="0"/>
      <w:marTop w:val="0"/>
      <w:marBottom w:val="0"/>
      <w:divBdr>
        <w:top w:val="none" w:sz="0" w:space="0" w:color="auto"/>
        <w:left w:val="none" w:sz="0" w:space="0" w:color="auto"/>
        <w:bottom w:val="none" w:sz="0" w:space="0" w:color="auto"/>
        <w:right w:val="none" w:sz="0" w:space="0" w:color="auto"/>
      </w:divBdr>
      <w:divsChild>
        <w:div w:id="1681276868">
          <w:marLeft w:val="0"/>
          <w:marRight w:val="0"/>
          <w:marTop w:val="0"/>
          <w:marBottom w:val="0"/>
          <w:divBdr>
            <w:top w:val="none" w:sz="0" w:space="0" w:color="auto"/>
            <w:left w:val="none" w:sz="0" w:space="0" w:color="auto"/>
            <w:bottom w:val="none" w:sz="0" w:space="0" w:color="auto"/>
            <w:right w:val="none" w:sz="0" w:space="0" w:color="auto"/>
          </w:divBdr>
          <w:divsChild>
            <w:div w:id="1482230624">
              <w:marLeft w:val="0"/>
              <w:marRight w:val="0"/>
              <w:marTop w:val="0"/>
              <w:marBottom w:val="0"/>
              <w:divBdr>
                <w:top w:val="none" w:sz="0" w:space="0" w:color="auto"/>
                <w:left w:val="none" w:sz="0" w:space="0" w:color="auto"/>
                <w:bottom w:val="none" w:sz="0" w:space="0" w:color="auto"/>
                <w:right w:val="none" w:sz="0" w:space="0" w:color="auto"/>
              </w:divBdr>
              <w:divsChild>
                <w:div w:id="1974090688">
                  <w:marLeft w:val="0"/>
                  <w:marRight w:val="0"/>
                  <w:marTop w:val="0"/>
                  <w:marBottom w:val="0"/>
                  <w:divBdr>
                    <w:top w:val="none" w:sz="0" w:space="0" w:color="auto"/>
                    <w:left w:val="none" w:sz="0" w:space="0" w:color="auto"/>
                    <w:bottom w:val="none" w:sz="0" w:space="0" w:color="auto"/>
                    <w:right w:val="none" w:sz="0" w:space="0" w:color="auto"/>
                  </w:divBdr>
                  <w:divsChild>
                    <w:div w:id="222837590">
                      <w:marLeft w:val="-375"/>
                      <w:marRight w:val="-375"/>
                      <w:marTop w:val="0"/>
                      <w:marBottom w:val="0"/>
                      <w:divBdr>
                        <w:top w:val="none" w:sz="0" w:space="0" w:color="auto"/>
                        <w:left w:val="none" w:sz="0" w:space="0" w:color="auto"/>
                        <w:bottom w:val="single" w:sz="6" w:space="12" w:color="E5E5E5"/>
                        <w:right w:val="none" w:sz="0" w:space="0" w:color="auto"/>
                      </w:divBdr>
                      <w:divsChild>
                        <w:div w:id="122382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1615430">
      <w:bodyDiv w:val="1"/>
      <w:marLeft w:val="0"/>
      <w:marRight w:val="0"/>
      <w:marTop w:val="0"/>
      <w:marBottom w:val="0"/>
      <w:divBdr>
        <w:top w:val="none" w:sz="0" w:space="0" w:color="auto"/>
        <w:left w:val="none" w:sz="0" w:space="0" w:color="auto"/>
        <w:bottom w:val="none" w:sz="0" w:space="0" w:color="auto"/>
        <w:right w:val="none" w:sz="0" w:space="0" w:color="auto"/>
      </w:divBdr>
      <w:divsChild>
        <w:div w:id="823085004">
          <w:marLeft w:val="0"/>
          <w:marRight w:val="0"/>
          <w:marTop w:val="0"/>
          <w:marBottom w:val="0"/>
          <w:divBdr>
            <w:top w:val="none" w:sz="0" w:space="0" w:color="auto"/>
            <w:left w:val="none" w:sz="0" w:space="0" w:color="auto"/>
            <w:bottom w:val="none" w:sz="0" w:space="0" w:color="auto"/>
            <w:right w:val="none" w:sz="0" w:space="0" w:color="auto"/>
          </w:divBdr>
          <w:divsChild>
            <w:div w:id="1698433336">
              <w:marLeft w:val="0"/>
              <w:marRight w:val="0"/>
              <w:marTop w:val="0"/>
              <w:marBottom w:val="0"/>
              <w:divBdr>
                <w:top w:val="none" w:sz="0" w:space="0" w:color="auto"/>
                <w:left w:val="none" w:sz="0" w:space="0" w:color="auto"/>
                <w:bottom w:val="none" w:sz="0" w:space="0" w:color="auto"/>
                <w:right w:val="none" w:sz="0" w:space="0" w:color="auto"/>
              </w:divBdr>
              <w:divsChild>
                <w:div w:id="1805123630">
                  <w:marLeft w:val="0"/>
                  <w:marRight w:val="0"/>
                  <w:marTop w:val="0"/>
                  <w:marBottom w:val="0"/>
                  <w:divBdr>
                    <w:top w:val="none" w:sz="0" w:space="0" w:color="auto"/>
                    <w:left w:val="none" w:sz="0" w:space="0" w:color="auto"/>
                    <w:bottom w:val="none" w:sz="0" w:space="0" w:color="auto"/>
                    <w:right w:val="none" w:sz="0" w:space="0" w:color="auto"/>
                  </w:divBdr>
                  <w:divsChild>
                    <w:div w:id="590703476">
                      <w:marLeft w:val="-375"/>
                      <w:marRight w:val="-375"/>
                      <w:marTop w:val="0"/>
                      <w:marBottom w:val="0"/>
                      <w:divBdr>
                        <w:top w:val="single" w:sz="6" w:space="19" w:color="E5E5E5"/>
                        <w:left w:val="none" w:sz="0" w:space="0" w:color="auto"/>
                        <w:bottom w:val="single" w:sz="6" w:space="19" w:color="E5E5E5"/>
                        <w:right w:val="none" w:sz="0" w:space="0" w:color="auto"/>
                      </w:divBdr>
                      <w:divsChild>
                        <w:div w:id="1844974699">
                          <w:marLeft w:val="0"/>
                          <w:marRight w:val="0"/>
                          <w:marTop w:val="0"/>
                          <w:marBottom w:val="150"/>
                          <w:divBdr>
                            <w:top w:val="none" w:sz="0" w:space="0" w:color="auto"/>
                            <w:left w:val="none" w:sz="0" w:space="0" w:color="auto"/>
                            <w:bottom w:val="none" w:sz="0" w:space="0" w:color="auto"/>
                            <w:right w:val="none" w:sz="0" w:space="0" w:color="auto"/>
                          </w:divBdr>
                        </w:div>
                        <w:div w:id="901676625">
                          <w:marLeft w:val="0"/>
                          <w:marRight w:val="0"/>
                          <w:marTop w:val="0"/>
                          <w:marBottom w:val="0"/>
                          <w:divBdr>
                            <w:top w:val="none" w:sz="0" w:space="0" w:color="auto"/>
                            <w:left w:val="none" w:sz="0" w:space="0" w:color="auto"/>
                            <w:bottom w:val="none" w:sz="0" w:space="0" w:color="auto"/>
                            <w:right w:val="none" w:sz="0" w:space="0" w:color="auto"/>
                          </w:divBdr>
                          <w:divsChild>
                            <w:div w:id="1516311645">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1024</Words>
  <Characters>5840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шах</dc:creator>
  <cp:lastModifiedBy>шах</cp:lastModifiedBy>
  <cp:revision>2</cp:revision>
  <dcterms:created xsi:type="dcterms:W3CDTF">2014-11-06T05:33:00Z</dcterms:created>
  <dcterms:modified xsi:type="dcterms:W3CDTF">2014-11-07T07:55:00Z</dcterms:modified>
</cp:coreProperties>
</file>