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09B" w:rsidRPr="00500C89" w:rsidRDefault="00BE509B" w:rsidP="00BE5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00C89">
        <w:rPr>
          <w:rFonts w:ascii="Times New Roman" w:hAnsi="Times New Roman" w:cs="Times New Roman"/>
          <w:bCs/>
          <w:sz w:val="24"/>
          <w:szCs w:val="24"/>
        </w:rPr>
        <w:t xml:space="preserve">Письмо  </w:t>
      </w:r>
      <w:r>
        <w:rPr>
          <w:rFonts w:ascii="Times New Roman" w:hAnsi="Times New Roman" w:cs="Times New Roman"/>
          <w:bCs/>
          <w:sz w:val="24"/>
          <w:szCs w:val="24"/>
        </w:rPr>
        <w:t>М</w:t>
      </w:r>
      <w:r w:rsidRPr="00500C89">
        <w:rPr>
          <w:rFonts w:ascii="Times New Roman" w:hAnsi="Times New Roman" w:cs="Times New Roman"/>
          <w:bCs/>
          <w:sz w:val="24"/>
          <w:szCs w:val="24"/>
        </w:rPr>
        <w:t xml:space="preserve">инистерства  экономического развития </w:t>
      </w:r>
      <w:r>
        <w:rPr>
          <w:rFonts w:ascii="Times New Roman" w:hAnsi="Times New Roman" w:cs="Times New Roman"/>
          <w:bCs/>
          <w:sz w:val="24"/>
          <w:szCs w:val="24"/>
        </w:rPr>
        <w:t>Р</w:t>
      </w:r>
      <w:r w:rsidRPr="00500C89">
        <w:rPr>
          <w:rFonts w:ascii="Times New Roman" w:hAnsi="Times New Roman" w:cs="Times New Roman"/>
          <w:bCs/>
          <w:sz w:val="24"/>
          <w:szCs w:val="24"/>
        </w:rPr>
        <w:t xml:space="preserve">оссийской </w:t>
      </w:r>
      <w:r>
        <w:rPr>
          <w:rFonts w:ascii="Times New Roman" w:hAnsi="Times New Roman" w:cs="Times New Roman"/>
          <w:bCs/>
          <w:sz w:val="24"/>
          <w:szCs w:val="24"/>
        </w:rPr>
        <w:t>Ф</w:t>
      </w:r>
      <w:r w:rsidRPr="00500C89">
        <w:rPr>
          <w:rFonts w:ascii="Times New Roman" w:hAnsi="Times New Roman" w:cs="Times New Roman"/>
          <w:bCs/>
          <w:sz w:val="24"/>
          <w:szCs w:val="24"/>
        </w:rPr>
        <w:t>едерации от 14 ноября 2011 г. N Д28-565</w:t>
      </w: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Департамент развития федеральной контрактной системы рассмотрел обращение по вопросу участия организации, освобожденной от уплаты НДС, в торгах, заключения государственного контракта с таким победителем торгов и в рамках компетенции сообщает свое мнение.</w:t>
      </w: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со </w:t>
      </w:r>
      <w:hyperlink r:id="rId4" w:history="1">
        <w:r>
          <w:rPr>
            <w:rFonts w:ascii="Calibri" w:hAnsi="Calibri" w:cs="Calibri"/>
            <w:color w:val="0000FF"/>
          </w:rPr>
          <w:t>ст. 8</w:t>
        </w:r>
      </w:hyperlink>
      <w:r>
        <w:rPr>
          <w:rFonts w:ascii="Calibri" w:hAnsi="Calibri" w:cs="Calibri"/>
        </w:rPr>
        <w:t xml:space="preserve"> Федерального закона от 21.07.2005 N 94-ФЗ "О размещении заказов на поставки товаров, выполнение работ, оказание услуг для государственных и муниципальных нужд" (далее - Закон) участником размещения заказа может быть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в том числе индивидуальный предприниматель.</w:t>
      </w:r>
      <w:proofErr w:type="gramEnd"/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Таким образом, любой участник размещения заказа, в том </w:t>
      </w:r>
      <w:proofErr w:type="gramStart"/>
      <w:r>
        <w:rPr>
          <w:rFonts w:ascii="Calibri" w:hAnsi="Calibri" w:cs="Calibri"/>
        </w:rPr>
        <w:t>числе</w:t>
      </w:r>
      <w:proofErr w:type="gramEnd"/>
      <w:r>
        <w:rPr>
          <w:rFonts w:ascii="Calibri" w:hAnsi="Calibri" w:cs="Calibri"/>
        </w:rPr>
        <w:t xml:space="preserve"> который освобожден от уплаты НДС, применяет упрощенную систему налогообложения, вправе участвовать в торгах.</w:t>
      </w: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положениями </w:t>
      </w:r>
      <w:hyperlink r:id="rId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при проведении торгов устанавливается в конкурсной документации, документации об аукционе или аукционе в электронной форме начальная (максимальная) цена контракта. При установлении начальной (максимальной) цены заказчик должен учитывать все факторы, влияющие на цену: условия и сроки поставки, риски, связанные с возможностью повышения цены, и иные платежи, связанные с оплатой поставляемых товаров (работ, услуг).</w:t>
      </w: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Помимо начальной (максимальной) цены контракта заказчик устанавливает требование к формированию цены контракта, а именно указывает, что в составе заявки участник размещения заказа должен установить цену с учетом или без учета налогов и других обязательных платежей.</w:t>
      </w: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соответствии с положениями Закона контракт заключается на условиях, указанных в поданной участником конкурса, с которым заключается контракт, заявке на участие в конкурсе и в конкурсной документации (</w:t>
      </w:r>
      <w:hyperlink r:id="rId6" w:history="1">
        <w:proofErr w:type="gramStart"/>
        <w:r>
          <w:rPr>
            <w:rFonts w:ascii="Calibri" w:hAnsi="Calibri" w:cs="Calibri"/>
            <w:color w:val="0000FF"/>
          </w:rPr>
          <w:t>ч</w:t>
        </w:r>
        <w:proofErr w:type="gramEnd"/>
        <w:r>
          <w:rPr>
            <w:rFonts w:ascii="Calibri" w:hAnsi="Calibri" w:cs="Calibri"/>
            <w:color w:val="0000FF"/>
          </w:rPr>
          <w:t>. 3 ст. 29</w:t>
        </w:r>
      </w:hyperlink>
      <w:r>
        <w:rPr>
          <w:rFonts w:ascii="Calibri" w:hAnsi="Calibri" w:cs="Calibri"/>
        </w:rPr>
        <w:t xml:space="preserve"> Закона). </w:t>
      </w:r>
      <w:proofErr w:type="gramStart"/>
      <w:r>
        <w:rPr>
          <w:rFonts w:ascii="Calibri" w:hAnsi="Calibri" w:cs="Calibri"/>
        </w:rPr>
        <w:t>По результатам открытого аукциона или аукциона в электронной форме контракт заключается на условиях, указанных в извещении о проведении открытого аукциона или аукциона в электронной форме и документации об открытом аукционе или аукционе в электронной форме, по цене, предложенной победителем открытого аукциона или аукциона в электронной форме (</w:t>
      </w:r>
      <w:hyperlink r:id="rId7" w:history="1">
        <w:r>
          <w:rPr>
            <w:rFonts w:ascii="Calibri" w:hAnsi="Calibri" w:cs="Calibri"/>
            <w:color w:val="0000FF"/>
          </w:rPr>
          <w:t>ч. 3 ст. 38</w:t>
        </w:r>
      </w:hyperlink>
      <w:r>
        <w:rPr>
          <w:rFonts w:ascii="Calibri" w:hAnsi="Calibri" w:cs="Calibri"/>
        </w:rPr>
        <w:t xml:space="preserve">, </w:t>
      </w:r>
      <w:hyperlink r:id="rId8" w:history="1">
        <w:r>
          <w:rPr>
            <w:rFonts w:ascii="Calibri" w:hAnsi="Calibri" w:cs="Calibri"/>
            <w:color w:val="0000FF"/>
          </w:rPr>
          <w:t>ч. 10 ст. 41.12</w:t>
        </w:r>
      </w:hyperlink>
      <w:r>
        <w:rPr>
          <w:rFonts w:ascii="Calibri" w:hAnsi="Calibri" w:cs="Calibri"/>
        </w:rPr>
        <w:t xml:space="preserve"> Закона).</w:t>
      </w:r>
      <w:proofErr w:type="gramEnd"/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9" w:history="1">
        <w:proofErr w:type="gramStart"/>
        <w:r>
          <w:rPr>
            <w:rFonts w:ascii="Calibri" w:hAnsi="Calibri" w:cs="Calibri"/>
            <w:color w:val="0000FF"/>
          </w:rPr>
          <w:t>ч</w:t>
        </w:r>
        <w:proofErr w:type="gramEnd"/>
        <w:r>
          <w:rPr>
            <w:rFonts w:ascii="Calibri" w:hAnsi="Calibri" w:cs="Calibri"/>
            <w:color w:val="0000FF"/>
          </w:rPr>
          <w:t>. 4.1 ст. 9</w:t>
        </w:r>
      </w:hyperlink>
      <w:r>
        <w:rPr>
          <w:rFonts w:ascii="Calibri" w:hAnsi="Calibri" w:cs="Calibri"/>
        </w:rPr>
        <w:t xml:space="preserve"> Закона цена контракта является твердой и не может изменяться в ходе его исполнения, за исключением случаев заключения контракта на основании </w:t>
      </w:r>
      <w:hyperlink r:id="rId10" w:history="1">
        <w:r>
          <w:rPr>
            <w:rFonts w:ascii="Calibri" w:hAnsi="Calibri" w:cs="Calibri"/>
            <w:color w:val="0000FF"/>
          </w:rPr>
          <w:t>п. 2.1 ч. 2 ст. 55</w:t>
        </w:r>
      </w:hyperlink>
      <w:r>
        <w:rPr>
          <w:rFonts w:ascii="Calibri" w:hAnsi="Calibri" w:cs="Calibri"/>
        </w:rPr>
        <w:t xml:space="preserve"> Закона, а также случаев, установленных </w:t>
      </w:r>
      <w:hyperlink r:id="rId11" w:history="1">
        <w:r>
          <w:rPr>
            <w:rFonts w:ascii="Calibri" w:hAnsi="Calibri" w:cs="Calibri"/>
            <w:color w:val="0000FF"/>
          </w:rPr>
          <w:t>ч. 4.2</w:t>
        </w:r>
      </w:hyperlink>
      <w:r>
        <w:rPr>
          <w:rFonts w:ascii="Calibri" w:hAnsi="Calibri" w:cs="Calibri"/>
        </w:rPr>
        <w:t xml:space="preserve">, </w:t>
      </w:r>
      <w:hyperlink r:id="rId12" w:history="1">
        <w:r>
          <w:rPr>
            <w:rFonts w:ascii="Calibri" w:hAnsi="Calibri" w:cs="Calibri"/>
            <w:color w:val="0000FF"/>
          </w:rPr>
          <w:t>6</w:t>
        </w:r>
      </w:hyperlink>
      <w:r>
        <w:rPr>
          <w:rFonts w:ascii="Calibri" w:hAnsi="Calibri" w:cs="Calibri"/>
        </w:rPr>
        <w:t xml:space="preserve">, </w:t>
      </w:r>
      <w:hyperlink r:id="rId13" w:history="1">
        <w:r>
          <w:rPr>
            <w:rFonts w:ascii="Calibri" w:hAnsi="Calibri" w:cs="Calibri"/>
            <w:color w:val="0000FF"/>
          </w:rPr>
          <w:t>6.2</w:t>
        </w:r>
      </w:hyperlink>
      <w:r>
        <w:rPr>
          <w:rFonts w:ascii="Calibri" w:hAnsi="Calibri" w:cs="Calibri"/>
        </w:rPr>
        <w:t xml:space="preserve"> - </w:t>
      </w:r>
      <w:hyperlink r:id="rId14" w:history="1">
        <w:r>
          <w:rPr>
            <w:rFonts w:ascii="Calibri" w:hAnsi="Calibri" w:cs="Calibri"/>
            <w:color w:val="0000FF"/>
          </w:rPr>
          <w:t>6.4 ст. 9</w:t>
        </w:r>
      </w:hyperlink>
      <w:r>
        <w:rPr>
          <w:rFonts w:ascii="Calibri" w:hAnsi="Calibri" w:cs="Calibri"/>
        </w:rPr>
        <w:t xml:space="preserve"> Закона. Оплата поставляемых товаров, выполняемых работ, оказываемых услуг осуществляется по цене, установленной контрактом, за исключением случаев заключения контракта на </w:t>
      </w:r>
      <w:proofErr w:type="spellStart"/>
      <w:r>
        <w:rPr>
          <w:rFonts w:ascii="Calibri" w:hAnsi="Calibri" w:cs="Calibri"/>
        </w:rPr>
        <w:t>энергосервис</w:t>
      </w:r>
      <w:proofErr w:type="spellEnd"/>
      <w:r>
        <w:rPr>
          <w:rFonts w:ascii="Calibri" w:hAnsi="Calibri" w:cs="Calibri"/>
        </w:rPr>
        <w:t xml:space="preserve"> на основании </w:t>
      </w:r>
      <w:hyperlink r:id="rId15" w:history="1">
        <w:r>
          <w:rPr>
            <w:rFonts w:ascii="Calibri" w:hAnsi="Calibri" w:cs="Calibri"/>
            <w:color w:val="0000FF"/>
          </w:rPr>
          <w:t>ст. 56.1</w:t>
        </w:r>
      </w:hyperlink>
      <w:r>
        <w:rPr>
          <w:rFonts w:ascii="Calibri" w:hAnsi="Calibri" w:cs="Calibri"/>
        </w:rPr>
        <w:t xml:space="preserve"> Закона. Цена контракта может быть снижена по соглашению сторон без изменения предусмотренных контрактом количества товаров, объема работ, услуг и иных условий исполнения контракта.</w:t>
      </w: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Контракт, заключаемый по итогам проведения торгов, должен содержать перечень работ, установленных заказчиком, а также итоговую цену контракта (итоговую стоимость этапов выполнения контракта). При этом установленная в контракте стоимость оплаты выполнения работ является обязательством заказчика оплатить контракт (этапы выполнения контракта) в установленном размере при надлежащем его исполнении.</w:t>
      </w: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Таким образом, с учетом положений </w:t>
      </w:r>
      <w:hyperlink r:id="rId1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контракт заключается и оплачивается заказчиком по цене победителя торгов вне зависимости от применения системы налогообложения у победителя. Сумма, предусмотренная контрактом за выполненный объем работ, должна быть оплачена победителю торгов в установленном контрактом размере. Применение победителем аукциона упрощенной системы налогообложения не влечет изменения условий контракта.</w:t>
      </w: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Корректировка заказчиком цены контракта, предложенной юридическим лицом, применяющим упрощенную систему налогообложения, при проведении торгов, а также при заключении государственного или муниципального контракта с таким участником размещения </w:t>
      </w:r>
      <w:r>
        <w:rPr>
          <w:rFonts w:ascii="Calibri" w:hAnsi="Calibri" w:cs="Calibri"/>
        </w:rPr>
        <w:lastRenderedPageBreak/>
        <w:t>заказа не допускается.</w:t>
      </w: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Одновременно сообщаем, что порядок расчетов с организациями, применяющими упрощенную систему налогообложения, за работы по контрактам, заключенным в соответствии </w:t>
      </w:r>
      <w:hyperlink r:id="rId1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, не входит в компетенцию Минэкономразвития России в соответствии с </w:t>
      </w:r>
      <w:hyperlink r:id="rId18" w:history="1">
        <w:r>
          <w:rPr>
            <w:rFonts w:ascii="Calibri" w:hAnsi="Calibri" w:cs="Calibri"/>
            <w:color w:val="0000FF"/>
          </w:rPr>
          <w:t>Положением</w:t>
        </w:r>
      </w:hyperlink>
      <w:r>
        <w:rPr>
          <w:rFonts w:ascii="Calibri" w:hAnsi="Calibri" w:cs="Calibri"/>
        </w:rPr>
        <w:t xml:space="preserve"> о Министерстве, утвержденным Постановлением Правительства Российской Федерации от 05.06.2008 N 437 "О Министерстве экономического развития Российской Федерации".</w:t>
      </w: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Директор Департамента развития</w:t>
      </w: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федеральной контрактной системы</w:t>
      </w: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О.В.АНЧИШКИНА</w:t>
      </w: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14.11.2011</w:t>
      </w:r>
    </w:p>
    <w:p w:rsidR="00BE509B" w:rsidRDefault="00BE509B" w:rsidP="00BE509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3040E" w:rsidRDefault="00A3040E"/>
    <w:sectPr w:rsidR="00A30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509B"/>
    <w:rsid w:val="00A3040E"/>
    <w:rsid w:val="00BE5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E43E942F05C271C7D7CA254EC0ABCBEDD918B0F6B087F5B64106438541A59D4E13991D83A8uC17J" TargetMode="External"/><Relationship Id="rId13" Type="http://schemas.openxmlformats.org/officeDocument/2006/relationships/hyperlink" Target="consultantplus://offline/ref=CBE43E942F05C271C7D7CA254EC0ABCBEDD918B0F6B087F5B64106438541A59D4E13991486uA19J" TargetMode="External"/><Relationship Id="rId18" Type="http://schemas.openxmlformats.org/officeDocument/2006/relationships/hyperlink" Target="consultantplus://offline/ref=CBE43E942F05C271C7D7CA254EC0ABCBEDDA1EB0FABB87F5B64106438541A59D4E13991D83ABC6A2u41A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BE43E942F05C271C7D7CA254EC0ABCBEDD918B0F6B087F5B64106438541A59D4E13991D83ABuC1FJ" TargetMode="External"/><Relationship Id="rId12" Type="http://schemas.openxmlformats.org/officeDocument/2006/relationships/hyperlink" Target="consultantplus://offline/ref=CBE43E942F05C271C7D7CA254EC0ABCBEDD918B0F6B087F5B64106438541A59D4E13991E8AuA1AJ" TargetMode="External"/><Relationship Id="rId17" Type="http://schemas.openxmlformats.org/officeDocument/2006/relationships/hyperlink" Target="consultantplus://offline/ref=CBE43E942F05C271C7D7CA254EC0ABCBEDD918B0F6B087F5B641064385u411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BE43E942F05C271C7D7CA254EC0ABCBEDD918B0F6B087F5B641064385u411J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BE43E942F05C271C7D7CA254EC0ABCBEDD918B0F6B087F5B64106438541A59D4E13991585uA1FJ" TargetMode="External"/><Relationship Id="rId11" Type="http://schemas.openxmlformats.org/officeDocument/2006/relationships/hyperlink" Target="consultantplus://offline/ref=CBE43E942F05C271C7D7CA254EC0ABCBEDD918B0F6B087F5B64106438541A59D4E13991Eu810J" TargetMode="External"/><Relationship Id="rId5" Type="http://schemas.openxmlformats.org/officeDocument/2006/relationships/hyperlink" Target="consultantplus://offline/ref=CBE43E942F05C271C7D7CA254EC0ABCBEDD918B0F6B087F5B641064385u411J" TargetMode="External"/><Relationship Id="rId15" Type="http://schemas.openxmlformats.org/officeDocument/2006/relationships/hyperlink" Target="consultantplus://offline/ref=CBE43E942F05C271C7D7CA254EC0ABCBEDD918B0F6B087F5B64106438541A59D4E13991D83ACuC16J" TargetMode="External"/><Relationship Id="rId10" Type="http://schemas.openxmlformats.org/officeDocument/2006/relationships/hyperlink" Target="consultantplus://offline/ref=CBE43E942F05C271C7D7CA254EC0ABCBEDD918B0F6B087F5B64106438541A59D4E13991D83ABCEA0u417J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CBE43E942F05C271C7D7CA254EC0ABCBEDD918B0F6B087F5B64106438541A59D4E13991D83ABCFA2u414J" TargetMode="External"/><Relationship Id="rId9" Type="http://schemas.openxmlformats.org/officeDocument/2006/relationships/hyperlink" Target="consultantplus://offline/ref=CBE43E942F05C271C7D7CA254EC0ABCBEDD918B0F6B087F5B64106438541A59D4E13991487uA12J" TargetMode="External"/><Relationship Id="rId14" Type="http://schemas.openxmlformats.org/officeDocument/2006/relationships/hyperlink" Target="consultantplus://offline/ref=CBE43E942F05C271C7D7CA254EC0ABCBEDD918B0F6B087F5B64106438541A59D4E13991486uA1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947</Words>
  <Characters>5400</Characters>
  <Application>Microsoft Office Word</Application>
  <DocSecurity>0</DocSecurity>
  <Lines>45</Lines>
  <Paragraphs>12</Paragraphs>
  <ScaleCrop>false</ScaleCrop>
  <Company>Microsoft</Company>
  <LinksUpToDate>false</LinksUpToDate>
  <CharactersWithSpaces>6335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2014-10-13T04:53:00Z</dcterms:created>
  <dcterms:modified xsi:type="dcterms:W3CDTF">2014-10-13T04:54:00Z</dcterms:modified>
</cp:coreProperties>
</file>