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B3D" w:rsidRPr="00ED7B3D" w:rsidRDefault="00ED7B3D" w:rsidP="00ED7B3D">
      <w:pPr>
        <w:shd w:val="clear" w:color="auto" w:fill="FFFFFF"/>
        <w:spacing w:before="100" w:beforeAutospacing="1" w:after="100" w:afterAutospacing="1"/>
        <w:ind w:firstLine="0"/>
        <w:contextualSpacing w:val="0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ED7B3D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ru-RU"/>
        </w:rPr>
        <w:t>Стенограмма</w:t>
      </w:r>
    </w:p>
    <w:p w:rsidR="00ED7B3D" w:rsidRPr="00ED7B3D" w:rsidRDefault="00ED7B3D" w:rsidP="00ED7B3D">
      <w:pPr>
        <w:shd w:val="clear" w:color="auto" w:fill="FFFFFF"/>
        <w:spacing w:before="100" w:beforeAutospacing="1" w:after="100" w:afterAutospacing="1"/>
        <w:ind w:firstLine="0"/>
        <w:contextualSpacing w:val="0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ответов на вопросы участников Конференции для заказчиков Северо-Западного федерального округа в </w:t>
      </w:r>
      <w:proofErr w:type="spellStart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г</w:t>
      </w:r>
      <w:proofErr w:type="gramStart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.В</w:t>
      </w:r>
      <w:proofErr w:type="gramEnd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ологда</w:t>
      </w:r>
      <w:proofErr w:type="spellEnd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19 июня 2014г. Директора департамента развития </w:t>
      </w:r>
      <w:bookmarkStart w:id="0" w:name="_GoBack"/>
      <w:bookmarkEnd w:id="0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контрактной системы Минэкономразвития </w:t>
      </w:r>
      <w:proofErr w:type="spellStart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>Чемерисова</w:t>
      </w:r>
      <w:proofErr w:type="spellEnd"/>
      <w:r w:rsidRPr="00ED7B3D"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  <w:t xml:space="preserve"> М.В.</w:t>
      </w:r>
    </w:p>
    <w:p w:rsidR="00ED7B3D" w:rsidRPr="00ED7B3D" w:rsidRDefault="00ED7B3D" w:rsidP="00ED7B3D">
      <w:pPr>
        <w:shd w:val="clear" w:color="auto" w:fill="FFFFFF"/>
        <w:spacing w:before="100" w:beforeAutospacing="1" w:after="100" w:afterAutospacing="1"/>
        <w:ind w:firstLine="0"/>
        <w:contextualSpacing w:val="0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5"/>
        <w:gridCol w:w="8325"/>
      </w:tblGrid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Входят ли в 2 млн. рублей по п.4) ч.1 ст.93 договоры, заключенные в 2013, исполняемые в 2014 году?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В два миллиона однозначно входят. 5% также отсчитываются от совокупного годового объема закупок, куда входят </w:t>
            </w:r>
            <w:proofErr w:type="gram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контракты</w:t>
            </w:r>
            <w:proofErr w:type="gram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 заключенные в 2013 году, подлежащие исполнению и оплате в 2014 году. Это удобно для заказчиков, т.к. более крупная сумма входит. Единственное исключение есть только по СГОЗ для целей ст.30 для расчета 15-%-го объема закупок СМП. Это исключение содержится в части 7 ст.112 44-ФЗ.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  <w:t> 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Входят ли в СГОЗ внебюджетные средства учреждений, заработанные ими?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Для бюджетных учреждений есть двоякая система. Первое, если в соответствие со ст.15 44-ФЗ для трех видов закупок принято Положение о закупках, то эти закупки идут по 223-му закону и эти закупки к контрактной системе отношения не имеют. Если Положение не разработано, или учредитель отказал в его утверждении, эти средства попадают в общий котел по 44-му закону. Этот объем сре</w:t>
            </w:r>
            <w:proofErr w:type="gram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дств вх</w:t>
            </w:r>
            <w:proofErr w:type="gram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одит с СГОЗ, от них отсчитывается и 5%, они учитываются и при определении необходимости создания контрактной службы (100 млн.).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Обязан ли заказчик при определении начальных (максимальных) цен указывать источники ценовой информации, реквизиты коммерческих предложений, как это предусмотрено Приказом №567 от 02.10.2013?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Приказ Минэкономразвития №567 не является нормативным правовым актом. Методические рекомендации – это инструментарий как правильно рассчитать цену. Все документы, которые используются как источники цен, мы рекомендуем регистрировать в установленном порядке как входящие в делопроизводстве. Если учесть, что в госоргане любой поступивший документ подлежит регистрации, мы настаиваем на необходимости документы с источниками цен (коммерческие предложения, прайс-листы) регистрировать.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По результатам аукциона заключен государственный контракт на поставку ГСМ, Нужно ли проводить экспертизу или достаточно товарных накладных?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В законе есть понятие экспертизы при приемке товаров, работ, услуг. Экспертиза есть всегда, в силу закона. Она должна проводиться в отдельных случаях силами заказчика, а в иных случаях проводится с привлечением внешних экспертов, экспертных организаций. Случаи проведения экспертизы с привлечением внешних экспертов 140-м законом минимизированы. По результатам несостоявшихся аукционов она не проводится, требование о ее проведении исключено. Но такие случаи все же есть. Но нельзя говорить, что в этом случае экспертиза вообще не проводится. Проводится внутренняя экспертиза, когда ответственным лицом или приемочной комиссией составляется акт приемки. Этот </w:t>
            </w:r>
            <w:proofErr w:type="gram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документ, подписанный ответственным лицом или комиссией и является</w:t>
            </w:r>
            <w:proofErr w:type="gram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 </w:t>
            </w: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lastRenderedPageBreak/>
              <w:t>документом подтверждающим приемку и одновременно проведение экспертизы.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Закон 140-ФЗ исключил обязанность привлекать в этом случае внешних экспертов. Подписанный вами документ засчитывается за внутреннюю экспертизу. Экспертиза это действие ответственного лица или комиссии по приемке товара. Приемка товаров проводится по товарно-транспортной накладной, этого документа достаточно.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lastRenderedPageBreak/>
              <w:t>5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Каким образом можно принимать заявки на запрос котировок в электронном виде?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Нельзя принимать заявки на запрос котировок в форме электронного документа до ввода в эксплуатацию ЕИС. Это сказано в ст.5 часть первая, заявки должны быть поданы с помощью программно-аппаратного комплекса ЕИС. Пока мы не можем реализовать это требование закона. Действительно это существенно ограничивает конкуренцию. Но уже предусмотрена процедура электронного запроса котировок в законопроекте об электронных закупочных процедурах. Расчетный срок его принятия, если все пойдет по плану – осенняя сессия Госдумы.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Обязан ли заказчик делать отчет по пунктам 4) и 5) ч.1 ст.93 без размещения в ЕИС?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Нет, не обязан. Эти пункты не </w:t>
            </w:r>
            <w:proofErr w:type="gram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предполагают</w:t>
            </w:r>
            <w:proofErr w:type="gram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 размещение информации в реестре контрактов и мы не считаем необходимым делать отчет по результатам исполнения таких контрактов. Соответствующее разъяснение есть на сайте Минэкономразвития.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Следует считать кредиторскую задолженность бюджетного учреждения прошлых лет в СГОЗ текущего года?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Денежные средства на обслуживание кредита это оплата по контракту. Тот объем, который вы платите по контракту входит в СГОЗ. За исключением, если вы считаете его для целей ст.30 для закупок у СМП, где вопросы кредитов исключены.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Исключается ли из объема закупок по ст.30 для СМП закупки у единственного поставщика, проведенные в 2013 году по 94-ФЗ?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Это регулируется ч.30 ст.112. В расчет СГОЗ не включаются закупки, размещенные на официальном сайте до дня вступления в силу закона 44-ФЗ о контрактной системе. По порядку: 30-я статья исключает всего единственного поставщика, и закупки по конкурентным процедурам, если извещения размещены до 31.12.2013. Вопрос в том, что единственный поставщик «в соответствие с ч.1 ст.93 настоящего закона», а заключенный в 2013 году контракт не имел отношения к ст.93? Справедливый вопрос, мы выпустим официальное разъяснение.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proofErr w:type="gramStart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Если закупка была объявлена только для СМП И СОНКО и не состоялась, контракт заключен по п.25) ч.1 ст.93, включается указанная закупка в 15% по СМП?</w:t>
            </w:r>
            <w:proofErr w:type="gramEnd"/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  <w:t> 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Нет, единственный поставщик вычитается из СГОЗ для целей расчета 15%. Если вы по мере реализации плана графика выходите на единственного поставщика, и заключаете по 24-му и 25-му пунктам контракты, вы уменьшаете СГОЗ, от которого рассчитывается квота.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Объем закупок у СМП, который 15%, считается от сумм контрактов, заключенных по итогам процедур. А СГОЗ мы высчитываем от планируемых сумм, и он не меняется. А с учетом экономии сумма </w:t>
            </w: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lastRenderedPageBreak/>
              <w:t>контрактов будет меньше. Получается нужно 15% планировать с запасом в большую сторону?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Да, логика в следующем. Увеличилась норма – было 10-20%, теперь 15%. Убрана номенклатура товаров работ услуг, которая ограничивала расчет. Добавлен механизм субподряда. Третье – сделан достаточно большой блок исключений по СГОЗ. Норма получилась справедливая. То, что расчет нужно делать с запасом, это совершенно справедливо. Разумный заказчик это и будет делать.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lastRenderedPageBreak/>
              <w:t>11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Если в документации закупки установлена обязанность победителя </w:t>
            </w:r>
            <w:proofErr w:type="gramStart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привлечь</w:t>
            </w:r>
            <w:proofErr w:type="gramEnd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 СМП, и закупку выиграл СМП, обязан ли он тоже привлечь СМП?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Фактически если на торги пришла сама организация – СМП или СОНКО, из проекта контракта должна быть исключена норма об этой обязанности, т.к. закон требует установить такую обязанность для организации, не являющейся СМП или СОНКО.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Для заказчиков установлена обязанность по несостоявшемуся аукциону в 10-дневный срок </w:t>
            </w:r>
            <w:proofErr w:type="gramStart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обратиться</w:t>
            </w:r>
            <w:proofErr w:type="gramEnd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 в контрольный орган. А контрольный орган требует предоставить  согласие поставщика на заключение контракта, а также копии документов поставщика. У заказчика есть обязанность, а у поставщика нет такой обязанности. Как здесь поступить?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На мой </w:t>
            </w:r>
            <w:proofErr w:type="gram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взгляд</w:t>
            </w:r>
            <w:proofErr w:type="gram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 вы говорите о практике прошедшего периода. Сейчас точки 140-ым законом расставлены. Сейчас достаточно декларации поставщика. Если контрольные органы требуют предоставления согласия заключить контракт, это выходит за рамки закона. В ближайшее время мы выпустим разъяснение, что согласием является сама заявка участника.  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В соответствие с законом об автономных учреждениях, учредитель выдает субсидию на исполнение </w:t>
            </w:r>
            <w:proofErr w:type="spellStart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госзадания</w:t>
            </w:r>
            <w:proofErr w:type="spellEnd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 на реставрацию памятников. С одной стороны, это можно отнести к капитальным вложениям. Но в соответствие с Бюджетным кодексом субсидия на </w:t>
            </w:r>
            <w:proofErr w:type="spellStart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госзадание</w:t>
            </w:r>
            <w:proofErr w:type="spellEnd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 и субсидия на капвложения это две разные вещи. Как быть?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Руководствоваться бюджетным законодательством. Если учредитель выдал субсидию на </w:t>
            </w:r>
            <w:proofErr w:type="spell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госзадание</w:t>
            </w:r>
            <w:proofErr w:type="spell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, вы действуете в рамках Положения о закупках по 223-ФЗ, если оно у вас есть. Ограничений на содержание </w:t>
            </w:r>
            <w:proofErr w:type="spell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госзадания</w:t>
            </w:r>
            <w:proofErr w:type="spell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 не предусмотрено. Это вопрос бюджетной дисциплины. Закон не говорит, что в субсидию на </w:t>
            </w:r>
            <w:proofErr w:type="spellStart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госзадание</w:t>
            </w:r>
            <w:proofErr w:type="spellEnd"/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 xml:space="preserve"> нельзя включать реставрацию.</w:t>
            </w:r>
          </w:p>
        </w:tc>
      </w:tr>
      <w:tr w:rsidR="00ED7B3D" w:rsidRPr="00ED7B3D" w:rsidTr="00ED7B3D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8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Исполнение </w:t>
            </w:r>
            <w:proofErr w:type="spellStart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>госзадания</w:t>
            </w:r>
            <w:proofErr w:type="spellEnd"/>
            <w:r w:rsidRPr="00ED7B3D">
              <w:rPr>
                <w:rFonts w:ascii="Verdana" w:eastAsia="Times New Roman" w:hAnsi="Verdana" w:cs="Times New Roman"/>
                <w:i/>
                <w:iCs/>
                <w:color w:val="auto"/>
                <w:sz w:val="21"/>
                <w:szCs w:val="21"/>
                <w:lang w:eastAsia="ru-RU"/>
              </w:rPr>
              <w:t xml:space="preserve"> возможно с привлечением подрядных организаций. Тогда все процедуры привлечения субподрядчиков тоже по 223-ФЗ?</w:t>
            </w:r>
          </w:p>
          <w:p w:rsidR="00ED7B3D" w:rsidRPr="00ED7B3D" w:rsidRDefault="00ED7B3D" w:rsidP="00ED7B3D">
            <w:pPr>
              <w:spacing w:before="100" w:beforeAutospacing="1" w:after="100" w:afterAutospacing="1"/>
              <w:ind w:firstLine="0"/>
              <w:contextualSpacing w:val="0"/>
              <w:jc w:val="left"/>
              <w:rPr>
                <w:rFonts w:ascii="Verdana" w:eastAsia="Times New Roman" w:hAnsi="Verdana" w:cs="Times New Roman"/>
                <w:color w:val="auto"/>
                <w:sz w:val="16"/>
                <w:szCs w:val="16"/>
                <w:lang w:eastAsia="ru-RU"/>
              </w:rPr>
            </w:pPr>
            <w:r w:rsidRPr="00ED7B3D">
              <w:rPr>
                <w:rFonts w:ascii="Verdana" w:eastAsia="Times New Roman" w:hAnsi="Verdana" w:cs="Times New Roman"/>
                <w:color w:val="auto"/>
                <w:sz w:val="21"/>
                <w:szCs w:val="21"/>
                <w:lang w:eastAsia="ru-RU"/>
              </w:rPr>
              <w:t>Да, это типичная ситуация. Закупочные процедуры в этом случае нужно проводить по 223-ФЗ.</w:t>
            </w:r>
          </w:p>
        </w:tc>
      </w:tr>
    </w:tbl>
    <w:p w:rsidR="00ED7B3D" w:rsidRPr="00ED7B3D" w:rsidRDefault="00ED7B3D" w:rsidP="00ED7B3D">
      <w:pPr>
        <w:shd w:val="clear" w:color="auto" w:fill="FFFFFF"/>
        <w:spacing w:before="100" w:beforeAutospacing="1" w:after="100" w:afterAutospacing="1"/>
        <w:ind w:firstLine="0"/>
        <w:contextualSpacing w:val="0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ED7B3D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724F07" w:rsidRDefault="00724F07" w:rsidP="00ED7B3D">
      <w:pPr>
        <w:ind w:firstLine="0"/>
      </w:pPr>
    </w:p>
    <w:sectPr w:rsidR="00724F07" w:rsidSect="00ED7B3D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B3D"/>
    <w:rsid w:val="00614D98"/>
    <w:rsid w:val="00724F07"/>
    <w:rsid w:val="00973D9D"/>
    <w:rsid w:val="00DF71A7"/>
    <w:rsid w:val="00ED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a3">
    <w:name w:val="Normal (Web)"/>
    <w:basedOn w:val="a"/>
    <w:uiPriority w:val="99"/>
    <w:unhideWhenUsed/>
    <w:rsid w:val="00ED7B3D"/>
    <w:pPr>
      <w:spacing w:before="100" w:beforeAutospacing="1" w:after="100" w:afterAutospacing="1"/>
      <w:ind w:firstLine="0"/>
      <w:contextualSpacing w:val="0"/>
      <w:jc w:val="left"/>
    </w:pPr>
    <w:rPr>
      <w:rFonts w:eastAsia="Times New Roman" w:cs="Times New Roman"/>
      <w:color w:val="auto"/>
      <w:szCs w:val="24"/>
      <w:lang w:eastAsia="ru-RU"/>
    </w:rPr>
  </w:style>
  <w:style w:type="character" w:styleId="a4">
    <w:name w:val="Strong"/>
    <w:basedOn w:val="a0"/>
    <w:uiPriority w:val="22"/>
    <w:qFormat/>
    <w:rsid w:val="00ED7B3D"/>
    <w:rPr>
      <w:b/>
      <w:bCs/>
    </w:rPr>
  </w:style>
  <w:style w:type="character" w:styleId="a5">
    <w:name w:val="Emphasis"/>
    <w:basedOn w:val="a0"/>
    <w:uiPriority w:val="20"/>
    <w:qFormat/>
    <w:rsid w:val="00ED7B3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1A7"/>
    <w:pPr>
      <w:spacing w:after="0" w:line="240" w:lineRule="auto"/>
      <w:ind w:firstLine="567"/>
      <w:contextualSpacing/>
      <w:jc w:val="both"/>
    </w:pPr>
    <w:rPr>
      <w:rFonts w:ascii="Times New Roman" w:hAnsi="Times New Roman"/>
      <w:color w:val="000000" w:themeColor="text1"/>
      <w:sz w:val="24"/>
    </w:rPr>
  </w:style>
  <w:style w:type="paragraph" w:styleId="1">
    <w:name w:val="heading 1"/>
    <w:aliases w:val="Заголовок"/>
    <w:basedOn w:val="a"/>
    <w:next w:val="a"/>
    <w:link w:val="10"/>
    <w:uiPriority w:val="9"/>
    <w:qFormat/>
    <w:rsid w:val="00DF71A7"/>
    <w:pPr>
      <w:spacing w:line="360" w:lineRule="auto"/>
      <w:jc w:val="center"/>
      <w:outlineLvl w:val="0"/>
    </w:pPr>
    <w:rPr>
      <w:rFonts w:eastAsia="Times New Roman" w:cs="Times New Roman"/>
      <w:b/>
      <w:bCs/>
      <w:color w:val="auto"/>
      <w:kern w:val="36"/>
      <w:sz w:val="2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uiPriority w:val="9"/>
    <w:rsid w:val="00DF71A7"/>
    <w:rPr>
      <w:rFonts w:ascii="Times New Roman" w:eastAsia="Times New Roman" w:hAnsi="Times New Roman" w:cs="Times New Roman"/>
      <w:b/>
      <w:bCs/>
      <w:kern w:val="36"/>
      <w:sz w:val="28"/>
      <w:szCs w:val="48"/>
      <w:lang w:eastAsia="ru-RU"/>
    </w:rPr>
  </w:style>
  <w:style w:type="paragraph" w:styleId="a3">
    <w:name w:val="Normal (Web)"/>
    <w:basedOn w:val="a"/>
    <w:uiPriority w:val="99"/>
    <w:unhideWhenUsed/>
    <w:rsid w:val="00ED7B3D"/>
    <w:pPr>
      <w:spacing w:before="100" w:beforeAutospacing="1" w:after="100" w:afterAutospacing="1"/>
      <w:ind w:firstLine="0"/>
      <w:contextualSpacing w:val="0"/>
      <w:jc w:val="left"/>
    </w:pPr>
    <w:rPr>
      <w:rFonts w:eastAsia="Times New Roman" w:cs="Times New Roman"/>
      <w:color w:val="auto"/>
      <w:szCs w:val="24"/>
      <w:lang w:eastAsia="ru-RU"/>
    </w:rPr>
  </w:style>
  <w:style w:type="character" w:styleId="a4">
    <w:name w:val="Strong"/>
    <w:basedOn w:val="a0"/>
    <w:uiPriority w:val="22"/>
    <w:qFormat/>
    <w:rsid w:val="00ED7B3D"/>
    <w:rPr>
      <w:b/>
      <w:bCs/>
    </w:rPr>
  </w:style>
  <w:style w:type="character" w:styleId="a5">
    <w:name w:val="Emphasis"/>
    <w:basedOn w:val="a0"/>
    <w:uiPriority w:val="20"/>
    <w:qFormat/>
    <w:rsid w:val="00ED7B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6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2014-07-09T06:57:00Z</dcterms:created>
  <dcterms:modified xsi:type="dcterms:W3CDTF">2014-07-09T07:00:00Z</dcterms:modified>
</cp:coreProperties>
</file>