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CellMar>
          <w:left w:w="28" w:type="dxa"/>
          <w:right w:w="0" w:type="dxa"/>
        </w:tblCellMar>
        <w:tblLook w:val="04A0"/>
      </w:tblPr>
      <w:tblGrid>
        <w:gridCol w:w="544"/>
        <w:gridCol w:w="2317"/>
        <w:gridCol w:w="627"/>
        <w:gridCol w:w="645"/>
        <w:gridCol w:w="6956"/>
      </w:tblGrid>
      <w:tr w:rsidR="002022F9" w:rsidTr="002022F9">
        <w:tc>
          <w:tcPr>
            <w:tcW w:w="556" w:type="dxa"/>
          </w:tcPr>
          <w:p w:rsidR="002022F9" w:rsidRDefault="002022F9" w:rsidP="001228CF">
            <w:pPr>
              <w:pStyle w:val="60"/>
              <w:shd w:val="clear" w:color="auto" w:fill="auto"/>
              <w:spacing w:line="235" w:lineRule="exact"/>
              <w:jc w:val="both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27" w:type="dxa"/>
          </w:tcPr>
          <w:p w:rsidR="002022F9" w:rsidRDefault="002022F9" w:rsidP="001228CF">
            <w:pPr>
              <w:pStyle w:val="60"/>
              <w:shd w:val="clear" w:color="auto" w:fill="auto"/>
              <w:spacing w:line="240" w:lineRule="auto"/>
            </w:pPr>
            <w:r>
              <w:t>Наименование услуг.</w:t>
            </w:r>
          </w:p>
        </w:tc>
        <w:tc>
          <w:tcPr>
            <w:tcW w:w="636" w:type="dxa"/>
          </w:tcPr>
          <w:p w:rsidR="002022F9" w:rsidRDefault="002022F9" w:rsidP="001228CF">
            <w:pPr>
              <w:pStyle w:val="60"/>
              <w:shd w:val="clear" w:color="auto" w:fill="auto"/>
              <w:spacing w:line="240" w:lineRule="exact"/>
              <w:jc w:val="both"/>
            </w:pPr>
            <w:r>
              <w:t xml:space="preserve">Кол- </w:t>
            </w:r>
            <w:proofErr w:type="gramStart"/>
            <w:r>
              <w:t>во</w:t>
            </w:r>
            <w:proofErr w:type="gramEnd"/>
            <w:r>
              <w:t>.</w:t>
            </w:r>
          </w:p>
        </w:tc>
        <w:tc>
          <w:tcPr>
            <w:tcW w:w="658" w:type="dxa"/>
          </w:tcPr>
          <w:p w:rsidR="002022F9" w:rsidRDefault="002022F9" w:rsidP="001228CF">
            <w:pPr>
              <w:pStyle w:val="60"/>
              <w:shd w:val="clear" w:color="auto" w:fill="auto"/>
              <w:spacing w:line="235" w:lineRule="exact"/>
              <w:jc w:val="both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</w:p>
        </w:tc>
        <w:tc>
          <w:tcPr>
            <w:tcW w:w="7074" w:type="dxa"/>
          </w:tcPr>
          <w:p w:rsidR="002022F9" w:rsidRDefault="002022F9" w:rsidP="001228CF">
            <w:pPr>
              <w:pStyle w:val="60"/>
              <w:shd w:val="clear" w:color="auto" w:fill="auto"/>
              <w:spacing w:line="240" w:lineRule="auto"/>
              <w:ind w:left="2780"/>
              <w:jc w:val="left"/>
            </w:pPr>
            <w:r>
              <w:t>Характеристики</w:t>
            </w:r>
          </w:p>
        </w:tc>
      </w:tr>
      <w:tr w:rsidR="002022F9" w:rsidTr="002022F9">
        <w:tc>
          <w:tcPr>
            <w:tcW w:w="556" w:type="dxa"/>
          </w:tcPr>
          <w:p w:rsidR="002022F9" w:rsidRDefault="002022F9" w:rsidP="001228CF">
            <w:pPr>
              <w:pStyle w:val="18"/>
              <w:shd w:val="clear" w:color="auto" w:fill="auto"/>
              <w:spacing w:line="240" w:lineRule="auto"/>
              <w:jc w:val="both"/>
            </w:pPr>
            <w:r>
              <w:t>1</w:t>
            </w:r>
          </w:p>
        </w:tc>
        <w:tc>
          <w:tcPr>
            <w:tcW w:w="2327" w:type="dxa"/>
          </w:tcPr>
          <w:p w:rsidR="002022F9" w:rsidRDefault="002022F9" w:rsidP="001228CF">
            <w:pPr>
              <w:pStyle w:val="18"/>
              <w:shd w:val="clear" w:color="auto" w:fill="auto"/>
              <w:spacing w:line="235" w:lineRule="exact"/>
              <w:jc w:val="center"/>
            </w:pPr>
            <w:r>
              <w:t xml:space="preserve">Изготовление шкафа с зеркалом, имеющего </w:t>
            </w:r>
            <w:proofErr w:type="gramStart"/>
            <w:r>
              <w:t>в</w:t>
            </w:r>
            <w:proofErr w:type="gramEnd"/>
          </w:p>
          <w:p w:rsidR="002022F9" w:rsidRDefault="002022F9" w:rsidP="001228CF">
            <w:pPr>
              <w:pStyle w:val="18"/>
              <w:shd w:val="clear" w:color="auto" w:fill="auto"/>
              <w:spacing w:line="235" w:lineRule="exact"/>
              <w:jc w:val="center"/>
            </w:pPr>
            <w:r>
              <w:t>своей конструкции радиусные элементы. (Код по ОКДП 9418114)</w:t>
            </w:r>
          </w:p>
          <w:p w:rsidR="002022F9" w:rsidRDefault="002022F9" w:rsidP="001228CF">
            <w:pPr>
              <w:jc w:val="center"/>
              <w:rPr>
                <w:sz w:val="2"/>
                <w:szCs w:val="2"/>
              </w:rPr>
            </w:pPr>
            <w:r>
              <w:rPr>
                <w:noProof/>
                <w:sz w:val="2"/>
                <w:szCs w:val="2"/>
                <w:lang w:eastAsia="ru-RU"/>
              </w:rPr>
              <w:drawing>
                <wp:inline distT="0" distB="0" distL="0" distR="0">
                  <wp:extent cx="1271905" cy="1430020"/>
                  <wp:effectExtent l="19050" t="0" r="4445" b="0"/>
                  <wp:docPr id="1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1430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22F9" w:rsidRDefault="002022F9" w:rsidP="001228CF">
            <w:pPr>
              <w:pStyle w:val="18"/>
              <w:shd w:val="clear" w:color="auto" w:fill="auto"/>
              <w:spacing w:line="235" w:lineRule="exact"/>
              <w:jc w:val="center"/>
            </w:pPr>
          </w:p>
        </w:tc>
        <w:tc>
          <w:tcPr>
            <w:tcW w:w="636" w:type="dxa"/>
          </w:tcPr>
          <w:p w:rsidR="002022F9" w:rsidRDefault="002022F9" w:rsidP="001228CF">
            <w:pPr>
              <w:pStyle w:val="18"/>
              <w:shd w:val="clear" w:color="auto" w:fill="auto"/>
              <w:spacing w:line="240" w:lineRule="auto"/>
              <w:jc w:val="both"/>
            </w:pPr>
            <w:r>
              <w:t>14</w:t>
            </w:r>
          </w:p>
        </w:tc>
        <w:tc>
          <w:tcPr>
            <w:tcW w:w="658" w:type="dxa"/>
          </w:tcPr>
          <w:p w:rsidR="002022F9" w:rsidRDefault="002022F9" w:rsidP="001228CF">
            <w:pPr>
              <w:pStyle w:val="18"/>
              <w:shd w:val="clear" w:color="auto" w:fill="auto"/>
              <w:spacing w:line="240" w:lineRule="auto"/>
              <w:jc w:val="both"/>
            </w:pPr>
            <w:r>
              <w:t>шт.</w:t>
            </w:r>
          </w:p>
        </w:tc>
        <w:tc>
          <w:tcPr>
            <w:tcW w:w="7074" w:type="dxa"/>
            <w:tcMar>
              <w:left w:w="57" w:type="dxa"/>
            </w:tcMar>
          </w:tcPr>
          <w:p w:rsidR="002022F9" w:rsidRDefault="002022F9" w:rsidP="002022F9">
            <w:pPr>
              <w:pStyle w:val="18"/>
              <w:shd w:val="clear" w:color="auto" w:fill="auto"/>
              <w:spacing w:line="235" w:lineRule="exact"/>
              <w:ind w:left="-22"/>
            </w:pPr>
            <w:r>
              <w:t>Размеры шкафа: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35" w:lineRule="exact"/>
              <w:ind w:left="-22"/>
            </w:pPr>
            <w:r>
              <w:t>Высота не менее 2,6 м и не более 2,65 м. Ширина не менее 1,74 м и не более 1,79 м. Глубина не менее 0,48 м и не более 0,50 м.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35" w:lineRule="exact"/>
              <w:ind w:left="-22"/>
            </w:pPr>
            <w:r>
              <w:t>Шкаф с зеркалом является экологически чистым и безвредным изделием, так как выполнен из древесноволокнистой плиты из лучшей окоренной древесины хвойных пород с очень тонкой структурой волокон, при производстве которой исключено использование фенола и вредных эпоксидных смол, благодаря чему МДФ (ГОСТ 10634, ГОСТ 10635, ГОСТ 10636, ГОСТ 23234, ГОСТ 27678, ГОСТ 27680) соответствует классу эмиссии формальдегида Е</w:t>
            </w:r>
            <w:proofErr w:type="gramStart"/>
            <w:r>
              <w:t>1</w:t>
            </w:r>
            <w:proofErr w:type="gramEnd"/>
            <w:r>
              <w:t xml:space="preserve">. Толщина МДФ не менее 25мм и не более 28 мм, он имеет высококачественное ламинированное покрытие пленкой ПВХ и обладает следующими характеристиками: необычайно высокой прочностью на изгиб и при поперечном растяжении (благодаря высоким показателям сцепления волокон), влагостойкостью, оптимальным распределением плотности по всему сечению, устойчивостью к температурным колебаниям. Оптимальное гидрофобирование плиты МДФ толщиной не менее 25мм и не более 28 мм предотвращает набухание волокон за счёт нанесения водного клеевого состава; невосприимчивость к грибкам и микроорганизмам обеспечивает безопасность в быту и гигиеничность. Высокие </w:t>
            </w:r>
            <w:proofErr w:type="spellStart"/>
            <w:r>
              <w:t>звуко</w:t>
            </w:r>
            <w:proofErr w:type="spellEnd"/>
            <w:r>
              <w:t xml:space="preserve">- и теплоизоляционные свойства, устойчивость к механическим и химическим воздействиям, отсутствие запаха и сколов также являются важными характеристиками плиты МДФ. Пленка ПВХ (ГОСТ 24944-81), нанесенная на плиту МДФ не менее 25мм и не более 28 мм высокого качества. Нанесенный печатный рисунок защищен прочной прозрачной пленкой и покрыт дополнительно защитным лаком. Состав качественной пленки ПВХ, нанесенной на плиту МДФ не менее 25мм и не более 28 мм, характеризуется отсутствием низкомолекулярных пластификаторов, способных активно испарятся из пленки (их наличие сильно увеличивает ее ломкость); отсутствием экономии праймера, наличием </w:t>
            </w:r>
            <w:proofErr w:type="spellStart"/>
            <w:r>
              <w:t>термо</w:t>
            </w:r>
            <w:proofErr w:type="spellEnd"/>
            <w:r>
              <w:t xml:space="preserve"> - и УФ - стабилизаторов. Благодаря чему качественная пленка ПВХ повышает надежность фасада МДФ толщиной не менее 25мм и не более 28 мм, не отслаивается в условиях повышенной влажности и температуры, не имеет микровздутий на поверхности. Качество печати декора обеспечивает высокое сходство с оригиналом; пленка с рельефными прожилками идеально имитирует дерево. Толщина пленки ПВХ 0,3-0,5 (300-500 микрон). Для дополнительного декора МДФ толщиной не менее 25мм и не более 28 мм искусственно состарен. Процесс патинирования проходит в несколько этапов: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35" w:lineRule="exact"/>
              <w:ind w:left="-22"/>
            </w:pPr>
            <w:r>
              <w:t xml:space="preserve">1.Нанесение изолятора. На поверхность фасада МДФ толщиной не менее 25мм и не более 28 мм наносится слой </w:t>
            </w:r>
            <w:proofErr w:type="spellStart"/>
            <w:r>
              <w:t>адгезивного</w:t>
            </w:r>
            <w:proofErr w:type="spellEnd"/>
            <w:r>
              <w:t xml:space="preserve"> барьера-грунта (изолятора). Это должен быть специальный барьер-грунт для ламинированных поверхностей. Наносится очень тонким слоем, перед нанесением смешивается с отвердителем и растворителем. Технические характеристики компонентов:</w:t>
            </w:r>
          </w:p>
          <w:p w:rsidR="002022F9" w:rsidRDefault="002022F9" w:rsidP="002022F9">
            <w:pPr>
              <w:pStyle w:val="18"/>
              <w:numPr>
                <w:ilvl w:val="0"/>
                <w:numId w:val="1"/>
              </w:numPr>
              <w:shd w:val="clear" w:color="auto" w:fill="auto"/>
              <w:tabs>
                <w:tab w:val="left" w:pos="235"/>
              </w:tabs>
              <w:spacing w:line="235" w:lineRule="exact"/>
              <w:ind w:left="-22"/>
            </w:pPr>
            <w:r>
              <w:t xml:space="preserve">Грунт с содержанием нелетучих веществ (%) 18 +1; плотностью 0,920 +0,030 . Применяется для обеспечения адгезии к </w:t>
            </w:r>
            <w:proofErr w:type="spellStart"/>
            <w:r>
              <w:t>меламиновой</w:t>
            </w:r>
            <w:proofErr w:type="spellEnd"/>
            <w:r>
              <w:t xml:space="preserve"> бумаге и другим трудно окрашиваемым поверхностям.</w:t>
            </w:r>
          </w:p>
          <w:p w:rsidR="002022F9" w:rsidRDefault="002022F9" w:rsidP="002022F9">
            <w:pPr>
              <w:pStyle w:val="18"/>
              <w:numPr>
                <w:ilvl w:val="0"/>
                <w:numId w:val="1"/>
              </w:numPr>
              <w:shd w:val="clear" w:color="auto" w:fill="auto"/>
              <w:tabs>
                <w:tab w:val="left" w:pos="235"/>
              </w:tabs>
              <w:spacing w:line="235" w:lineRule="exact"/>
              <w:ind w:left="-22"/>
            </w:pPr>
            <w:r>
              <w:t>отвердитель с содержанием нелетучих веществ (%) 20 + 1; плотностью 1,001 +0,030.</w:t>
            </w:r>
          </w:p>
          <w:p w:rsidR="002022F9" w:rsidRDefault="002022F9" w:rsidP="002022F9">
            <w:pPr>
              <w:pStyle w:val="18"/>
              <w:numPr>
                <w:ilvl w:val="0"/>
                <w:numId w:val="1"/>
              </w:numPr>
              <w:shd w:val="clear" w:color="auto" w:fill="auto"/>
              <w:tabs>
                <w:tab w:val="left" w:pos="240"/>
              </w:tabs>
              <w:spacing w:line="235" w:lineRule="exact"/>
              <w:ind w:left="-22"/>
            </w:pPr>
            <w:r>
              <w:t>растворитель с плотностью (</w:t>
            </w:r>
            <w:proofErr w:type="gramStart"/>
            <w:r>
              <w:t>кг</w:t>
            </w:r>
            <w:proofErr w:type="gramEnd"/>
            <w:r>
              <w:t>/л) 0,850 ± 0,030. При производстве этого растворителя использовалось сырье высокого качества; входящие в его состав компоненты обеспечивают хорошее испарение. Имея высокую скорость испарения, он уменьшает вязкость полиуретановых покрытий и в то же время увеличивает их жизнеспособность, может использоваться как для полиуретановых грунтов, так и для полиурет</w:t>
            </w:r>
            <w:r>
              <w:t xml:space="preserve">ановых лаков в любое время года </w:t>
            </w:r>
            <w:r>
              <w:t>за исключением самых жарких месяцев.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1120"/>
            </w:pPr>
            <w:r>
              <w:t>Формула смешивания компонентов свободная, предполагает испытательную окраску каждого нового сорта для проверки совместимости пленки и лакокрасочной системы.</w:t>
            </w:r>
          </w:p>
          <w:p w:rsidR="002022F9" w:rsidRDefault="002022F9" w:rsidP="002022F9">
            <w:pPr>
              <w:pStyle w:val="18"/>
              <w:numPr>
                <w:ilvl w:val="0"/>
                <w:numId w:val="2"/>
              </w:numPr>
              <w:shd w:val="clear" w:color="auto" w:fill="auto"/>
              <w:tabs>
                <w:tab w:val="left" w:pos="370"/>
              </w:tabs>
              <w:spacing w:line="240" w:lineRule="exact"/>
              <w:ind w:left="-22" w:right="220"/>
            </w:pPr>
            <w:r>
              <w:t xml:space="preserve">Второй слой полиуретановый грунт. Для этого слоя рекомендуется использовать бесцветный полиуретановый грунт, который снижает вздутие древесных волокон. Характеризуется высокой скоростью высыхания (до 15 минут). Основное назначение - снизить поднятие ворса, впитывание последующих слоев и усадку на пористых (рыхлых) поверхностях, сократить общий расход ЛКМ и обеспечить высокое качество получаемой поверхности. Очень легко шлифуется. Перед нанесением смешивается с отвердителем и </w:t>
            </w:r>
            <w:r>
              <w:lastRenderedPageBreak/>
              <w:t>разбавителем, их технические характеристики: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35"/>
              </w:tabs>
              <w:spacing w:line="240" w:lineRule="exact"/>
              <w:ind w:left="-22" w:right="1120"/>
            </w:pPr>
            <w:r>
              <w:t>полиуретановый грунт с содержанием нелетучих веществ (%) 44 +1; плотностью 1,070 + 0,030.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35"/>
              </w:tabs>
              <w:spacing w:line="240" w:lineRule="exact"/>
              <w:ind w:left="-22" w:right="220"/>
            </w:pPr>
            <w:r>
              <w:t>отвердитель содержанием нелетучих веществ (%) 25 +1; плотностью 0,934 + 0,030.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40"/>
              </w:tabs>
              <w:spacing w:line="240" w:lineRule="exact"/>
              <w:ind w:left="-22" w:right="220"/>
            </w:pPr>
            <w:r>
              <w:t>растворитель с плотностью (</w:t>
            </w:r>
            <w:proofErr w:type="gramStart"/>
            <w:r>
              <w:t>кг</w:t>
            </w:r>
            <w:proofErr w:type="gramEnd"/>
            <w:r>
              <w:t>/л) 0,850 ± 0,030. При производстве растворителя использовалось сырье высокого качества; входящие в его состав компоненты обеспечивают хорошее испарение. Имея высокую скорость испарения, он уменьшает вязкость полиуретановых покрытий и в то же время увеличивает их жизнеспособность, может использоваться как для полиуретановых грунтов, так и для полиуретановых лаков в любое время года за исключением самых жарких месяцев.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>Формула смешивания компонентов свободная, предполагает испытательную окраску каждого нового сорта для проверки совместимости пленки и лакокрасочной системы.</w:t>
            </w:r>
          </w:p>
          <w:p w:rsidR="002022F9" w:rsidRDefault="002022F9" w:rsidP="002022F9">
            <w:pPr>
              <w:pStyle w:val="18"/>
              <w:numPr>
                <w:ilvl w:val="1"/>
                <w:numId w:val="3"/>
              </w:numPr>
              <w:shd w:val="clear" w:color="auto" w:fill="auto"/>
              <w:tabs>
                <w:tab w:val="left" w:pos="270"/>
              </w:tabs>
              <w:spacing w:line="240" w:lineRule="exact"/>
              <w:ind w:left="-22" w:right="220"/>
            </w:pPr>
            <w:r>
              <w:t>Тонкая шлифовка с применением наждачной бумаги мелкой или средней зернистости.</w:t>
            </w:r>
          </w:p>
          <w:p w:rsidR="002022F9" w:rsidRDefault="002022F9" w:rsidP="002022F9">
            <w:pPr>
              <w:pStyle w:val="18"/>
              <w:numPr>
                <w:ilvl w:val="1"/>
                <w:numId w:val="3"/>
              </w:numPr>
              <w:shd w:val="clear" w:color="auto" w:fill="auto"/>
              <w:tabs>
                <w:tab w:val="left" w:pos="274"/>
              </w:tabs>
              <w:spacing w:line="240" w:lineRule="exact"/>
              <w:ind w:left="-22" w:right="220"/>
            </w:pPr>
            <w:r>
              <w:t xml:space="preserve">Нанесение патины. Рисунок </w:t>
            </w:r>
            <w:proofErr w:type="spellStart"/>
            <w:r>
              <w:t>фрезировки</w:t>
            </w:r>
            <w:proofErr w:type="spellEnd"/>
            <w:r>
              <w:t xml:space="preserve"> (фасады шкафа), выделяется патинирующим составом с эффектом золота. Состав наносится на грунтованную поверхность кисточкой или губкой, излишки убираются. Технические характеристики состава: содержание нелетучего вещества (%) 10 ± 2%; плотность (</w:t>
            </w:r>
            <w:proofErr w:type="gramStart"/>
            <w:r>
              <w:t>кг</w:t>
            </w:r>
            <w:proofErr w:type="gramEnd"/>
            <w:r>
              <w:t>/л) 1,000 ± 0,030. Наносится на тщательно прошлифованные полиуретановые или полиэфирные грунты.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>Сверху, на поверхность МДФ толщиной не менее 25мм и не более 28 мм, наносится тонкий основной слой патины, по цвету темнее бука. Технические характеристики состава: плотность (кг/л) 0,820 ± 0,900; сухой остаток (%) 5</w:t>
            </w:r>
            <w:r>
              <w:softHyphen/>
              <w:t>15%</w:t>
            </w:r>
            <w:proofErr w:type="gramStart"/>
            <w:r>
              <w:t xml:space="preserve"> ;</w:t>
            </w:r>
            <w:proofErr w:type="gramEnd"/>
            <w:r>
              <w:t xml:space="preserve"> светостойкость отличная для применения внутри помещений; время сушки 1-3 минуты. Наносится на тщательно прошлифованные полиуретановые или полиэфирные грунты</w:t>
            </w:r>
          </w:p>
          <w:p w:rsidR="002022F9" w:rsidRDefault="002022F9" w:rsidP="002022F9">
            <w:pPr>
              <w:pStyle w:val="18"/>
              <w:numPr>
                <w:ilvl w:val="1"/>
                <w:numId w:val="3"/>
              </w:numPr>
              <w:shd w:val="clear" w:color="auto" w:fill="auto"/>
              <w:tabs>
                <w:tab w:val="left" w:pos="226"/>
              </w:tabs>
              <w:spacing w:line="240" w:lineRule="exact"/>
              <w:ind w:left="-22" w:right="760"/>
            </w:pPr>
            <w:r>
              <w:t>Обработка патины. Обработка патины происходит наждачной бумагой разной зернистости.</w:t>
            </w:r>
          </w:p>
          <w:p w:rsidR="002022F9" w:rsidRDefault="002022F9" w:rsidP="002022F9">
            <w:pPr>
              <w:pStyle w:val="18"/>
              <w:numPr>
                <w:ilvl w:val="1"/>
                <w:numId w:val="3"/>
              </w:numPr>
              <w:shd w:val="clear" w:color="auto" w:fill="auto"/>
              <w:tabs>
                <w:tab w:val="left" w:pos="222"/>
              </w:tabs>
              <w:spacing w:line="240" w:lineRule="exact"/>
              <w:ind w:left="-22" w:right="220"/>
            </w:pPr>
            <w:r>
              <w:t>Лакировка. Созданный эффект после всего необходимо закрепить и защитить от внешнего воздействия. Для этого используют матовый полиуретановый лак. Перед нанесением лак смешивается с отвердителем и растворителем. Их технические характеристики: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35"/>
              </w:tabs>
              <w:spacing w:line="240" w:lineRule="exact"/>
              <w:ind w:left="-22" w:right="220"/>
            </w:pPr>
            <w:r>
              <w:t>лак с содержанием нелетучих веществ (%) 42 ± 1; плотностью (</w:t>
            </w:r>
            <w:proofErr w:type="gramStart"/>
            <w:r>
              <w:t>кг</w:t>
            </w:r>
            <w:proofErr w:type="gramEnd"/>
            <w:r>
              <w:t>/л) 0,970 ± 0,030. Полиуретановый лак со средней толщиной сухой плёнки и высокой скоростью сушки, равномерной матовостью, прекрасной растекаемостью, смачиваемостью пор и стойкостью к царапинам.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35"/>
              </w:tabs>
              <w:spacing w:line="240" w:lineRule="exact"/>
              <w:ind w:left="-22" w:right="220"/>
            </w:pPr>
            <w:r>
              <w:t>отвердитель с содержанием нелетучих веществ (%) 24 ± 1; плотностью (</w:t>
            </w:r>
            <w:proofErr w:type="gramStart"/>
            <w:r>
              <w:t>кг</w:t>
            </w:r>
            <w:proofErr w:type="gramEnd"/>
            <w:r>
              <w:t>/л) 0,920 ± 0,030.</w:t>
            </w:r>
          </w:p>
          <w:p w:rsidR="002022F9" w:rsidRDefault="002022F9" w:rsidP="002022F9">
            <w:pPr>
              <w:pStyle w:val="18"/>
              <w:numPr>
                <w:ilvl w:val="0"/>
                <w:numId w:val="3"/>
              </w:numPr>
              <w:shd w:val="clear" w:color="auto" w:fill="auto"/>
              <w:tabs>
                <w:tab w:val="left" w:pos="140"/>
              </w:tabs>
              <w:spacing w:line="240" w:lineRule="exact"/>
              <w:ind w:left="-22" w:right="220"/>
            </w:pPr>
            <w:r>
              <w:t>растворитель с плотностью (</w:t>
            </w:r>
            <w:proofErr w:type="gramStart"/>
            <w:r>
              <w:t>кг</w:t>
            </w:r>
            <w:proofErr w:type="gramEnd"/>
            <w:r>
              <w:t xml:space="preserve">/л) 0,850 ± 0,030. При производстве этого растворителя использовалось сырье высокого качества; входящие в его состав компоненты обеспечивают хорошее испарение. Имея высокую скорость испарения, он уменьшает вязкость полиуретановых покрытий и в то же время увеличивает их жизнеспособность, может использоваться как для полиуретановых грунтов, так и для полиуретановых лаков в любое время года за исключением самых жарких месяцев. Лак наносится в один - два слоя. Конструкция шкафа представлена в виде трех отсеков. Боковые отсеки - это платяные шкафы, </w:t>
            </w:r>
            <w:proofErr w:type="gramStart"/>
            <w:r>
              <w:t>средний</w:t>
            </w:r>
            <w:proofErr w:type="gramEnd"/>
            <w:r>
              <w:t xml:space="preserve"> - тумба с зеркалом (тумба оснащена полкой). </w:t>
            </w:r>
            <w:r w:rsidRPr="002022F9">
              <w:t xml:space="preserve">В </w:t>
            </w:r>
            <w:r w:rsidRPr="002022F9">
              <w:rPr>
                <w:rStyle w:val="1"/>
                <w:u w:val="none"/>
              </w:rPr>
              <w:t xml:space="preserve">верхней части по длине шкафа расположена антресольная часть в виде трех </w:t>
            </w:r>
            <w:r w:rsidRPr="002022F9">
              <w:t>шкафов,</w:t>
            </w:r>
            <w:r>
              <w:t xml:space="preserve"> оборудованных полками. В конструкции шкафа имеются радиусные элементы - дверки боковых (платяных) шкафов и антресолей (шкаф и антресоль имеют по одной распашной дверке). Антресоль и тумба, расположенные в центре шкафа, имеют обыкновенные распашные дверки. Размеры отсеков шкафа: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>Боковые: высота не менее 2,6 м и не более 2,65 м; ширина не менее 0,594 м и не более 0,599 м; глубина не менее 0,48 м и не более 0,5 м.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 xml:space="preserve">Центральный: высота не менее 2,6 и не более 2,65 м; ширина не менее 0,552 м и не более 0,557 м; глубина не менее 0,48 м и не более 0,5 м. Радиус дверок сложной конфигурации; по центру не менее </w:t>
            </w:r>
            <w:r>
              <w:rPr>
                <w:lang w:val="en-US"/>
              </w:rPr>
              <w:t>R</w:t>
            </w:r>
            <w:r w:rsidRPr="00057B6B">
              <w:t xml:space="preserve">=250 </w:t>
            </w:r>
            <w:r>
              <w:t xml:space="preserve">мм и не более 255 мм (он выпуклый); по краям не менее </w:t>
            </w:r>
            <w:r>
              <w:rPr>
                <w:lang w:val="en-US"/>
              </w:rPr>
              <w:t>R</w:t>
            </w:r>
            <w:r w:rsidRPr="00057B6B">
              <w:t xml:space="preserve">=192 </w:t>
            </w:r>
            <w:r>
              <w:t>мм и не более 197 мм (он вогнутый).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lastRenderedPageBreak/>
              <w:t>Зеркало (ГОСТ 17716-91) шкафа высокого качества, при его производстве не использовались медь и свинец (специальная обработка нанесенного серебряного покрытия позволила отказаться от применения токсичных компонентов в составе антикоррозийных грунтов). Качественные характеристики зеркала: коэффициент светоотражения 92%; исключительная устойчивость к агрессивным атмосферным воздействиям (влажности, перепадам температур, окислению); исключительная устойчивость к воздействию таких агрессивных агентов, как производные аммиака и компоненты косметических аэрозолей; совместимость с любыми видами клеев; отличная сопротивляемость против краевой коррозии и возникновения пузырей защитного грунта после резки в размер. На тыльной стороне нанесена полипропиленовая пленка безопасности (при разрушении зеркала фрагменты удерживаются пленкой).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>Платяные шкафы в нижней своей части оснащены рамой с сеткой. Рама с доводчиком выполнена из металла, способ крепления на боковые стенки. Направляющие с плавным скольжением и мягким бесшумным закрыванием (не хлопая и не отскакивая назад). Телескопическая рамка - полного выдвижения (в основе шариковые направляющие с интегрированным доводчиком). Наполнение рам - сетка с бортиками.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220"/>
            </w:pPr>
            <w:r>
              <w:t xml:space="preserve">Верхняя часть платяных шкафов оборудована стационарными полками и выдвижными держателями для плечиков. Полки также выполнены из МДФ толщиной не менее 25мм и не более 28 мм, выдвижные штанги высокого качества, металлические на шариковых направляющих. Фасады шкафа крепятся на петли с трехмерным регулированием. Цокольная часть шкафа оснащена шестью накладными светильниками, цвет поверхности под алюминий. Технические характеристики светильников: рабочее напряжение (постоянный ток) 12 Вольт; потребляемая мощность 0,6 Ватт; спектр излучения холодный; угол светового излучения широкий. Боковые стенки шкафов и дно средней антресоли (обрамляющие зеркало) оснащены врезными светодиодными светильниками с высокой силой освещения, рабочим напряжением 700 мА, потребляемой мощностью 3 Ватта, теплым белым спектром излучения и углом светового излучения в 65 градусов. </w:t>
            </w:r>
            <w:proofErr w:type="gramStart"/>
            <w:r>
              <w:t>Крепежная фурнитура, применяемая при сборке шкафа с зеркалом, должна быть высокого качества, иметь внутренние и наружные фиксаторы (затягивание дюбеля по центру исключает смещение мебельных деталей; при транспортировке с места на место соединения не расслабляются; самопроизвольное вращение эксцентрика назад невозможно, так как ему препятствуют фиксаторные ступени в зажимном кулачке, а также наружный фиксатор с пилообразными зубьями).</w:t>
            </w:r>
            <w:proofErr w:type="gramEnd"/>
            <w:r>
              <w:t xml:space="preserve"> Одинарные стяжки и дюбели выполнены из стали, что увеличит срок эксплуатации изделия. Стяжки удерживают элементы на отрыв, шканты - на осевое смещение. Все технологические отверстия закрываются декоративными заглушками.</w:t>
            </w:r>
          </w:p>
          <w:p w:rsidR="002022F9" w:rsidRDefault="002022F9" w:rsidP="002022F9">
            <w:pPr>
              <w:pStyle w:val="18"/>
              <w:shd w:val="clear" w:color="auto" w:fill="auto"/>
              <w:spacing w:line="240" w:lineRule="exact"/>
              <w:ind w:left="-22" w:right="440"/>
              <w:jc w:val="both"/>
            </w:pPr>
            <w:r>
              <w:t xml:space="preserve">Помимо крепежной фурнитуры конструкция шкафа должна быть усилена за счет шкантовой глухой проклейки с применением высококачественного клея на основе ПВА дисперсии, добавок, пластификатора (ГОСТ 18992-80). Клей должен обладать высокой прочностью склеивания, средней вязкостью, устойчивостью к кратковременному воздействию воды, </w:t>
            </w:r>
            <w:r w:rsidRPr="002022F9">
              <w:t xml:space="preserve">высокой </w:t>
            </w:r>
            <w:r w:rsidRPr="002022F9">
              <w:rPr>
                <w:rStyle w:val="2"/>
                <w:u w:val="none"/>
              </w:rPr>
              <w:t xml:space="preserve">теплостойкостью, устойчивостью к старению, имеет прозрачный эластичный </w:t>
            </w:r>
            <w:r w:rsidRPr="002022F9">
              <w:t>клеевой</w:t>
            </w:r>
            <w:r>
              <w:t xml:space="preserve"> шов. Клей быстро схватывается, высокая прочность приклеивания достигается уже через пять минут после прижатия.</w:t>
            </w:r>
          </w:p>
        </w:tc>
      </w:tr>
    </w:tbl>
    <w:p w:rsidR="00B03F48" w:rsidRDefault="00B03F48" w:rsidP="002022F9"/>
    <w:sectPr w:rsidR="00B03F48" w:rsidSect="002022F9">
      <w:pgSz w:w="11906" w:h="16838"/>
      <w:pgMar w:top="1134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422CE"/>
    <w:multiLevelType w:val="multilevel"/>
    <w:tmpl w:val="E4948C0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AB377A7"/>
    <w:multiLevelType w:val="multilevel"/>
    <w:tmpl w:val="46A211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CA2AE2"/>
    <w:multiLevelType w:val="multilevel"/>
    <w:tmpl w:val="93769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2022F9"/>
    <w:rsid w:val="002022F9"/>
    <w:rsid w:val="00B03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2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22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_"/>
    <w:basedOn w:val="a0"/>
    <w:link w:val="60"/>
    <w:rsid w:val="002022F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022F9"/>
    <w:pPr>
      <w:shd w:val="clear" w:color="auto" w:fill="FFFFFF"/>
      <w:spacing w:after="0" w:line="226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4">
    <w:name w:val="Основной текст_"/>
    <w:basedOn w:val="a0"/>
    <w:link w:val="18"/>
    <w:rsid w:val="002022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8">
    <w:name w:val="Основной текст18"/>
    <w:basedOn w:val="a"/>
    <w:link w:val="a4"/>
    <w:rsid w:val="002022F9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1"/>
    <w:basedOn w:val="a4"/>
    <w:rsid w:val="002022F9"/>
    <w:rPr>
      <w:b w:val="0"/>
      <w:bCs w:val="0"/>
      <w:i w:val="0"/>
      <w:iCs w:val="0"/>
      <w:smallCaps w:val="0"/>
      <w:strike w:val="0"/>
      <w:spacing w:val="0"/>
      <w:u w:val="single"/>
    </w:rPr>
  </w:style>
  <w:style w:type="character" w:customStyle="1" w:styleId="2">
    <w:name w:val="Основной текст2"/>
    <w:basedOn w:val="a4"/>
    <w:rsid w:val="002022F9"/>
    <w:rPr>
      <w:b w:val="0"/>
      <w:bCs w:val="0"/>
      <w:i w:val="0"/>
      <w:iCs w:val="0"/>
      <w:smallCaps w:val="0"/>
      <w:strike w:val="0"/>
      <w:spacing w:val="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02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1685</Words>
  <Characters>9606</Characters>
  <Application>Microsoft Office Word</Application>
  <DocSecurity>0</DocSecurity>
  <Lines>80</Lines>
  <Paragraphs>22</Paragraphs>
  <ScaleCrop>false</ScaleCrop>
  <Company/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</dc:creator>
  <cp:keywords/>
  <dc:description/>
  <cp:lastModifiedBy>Sar</cp:lastModifiedBy>
  <cp:revision>2</cp:revision>
  <dcterms:created xsi:type="dcterms:W3CDTF">2012-05-24T08:07:00Z</dcterms:created>
  <dcterms:modified xsi:type="dcterms:W3CDTF">2012-05-24T08:11:00Z</dcterms:modified>
</cp:coreProperties>
</file>