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F21" w:rsidRPr="000A3F21" w:rsidRDefault="000A3F21" w:rsidP="000A3F21">
      <w:pPr>
        <w:shd w:val="clear" w:color="auto" w:fill="FFFFFF"/>
        <w:spacing w:before="100" w:beforeAutospacing="1" w:after="100" w:afterAutospacing="1"/>
        <w:ind w:firstLine="0"/>
        <w:contextualSpacing w:val="0"/>
        <w:jc w:val="center"/>
        <w:rPr>
          <w:rFonts w:ascii="Verdana" w:eastAsia="Times New Roman" w:hAnsi="Verdana" w:cs="Times New Roman"/>
          <w:color w:val="000000"/>
          <w:sz w:val="17"/>
          <w:szCs w:val="17"/>
          <w:lang w:eastAsia="ru-RU"/>
        </w:rPr>
      </w:pPr>
      <w:r w:rsidRPr="000A3F21">
        <w:rPr>
          <w:rFonts w:ascii="Verdana" w:eastAsia="Times New Roman" w:hAnsi="Verdana" w:cs="Times New Roman"/>
          <w:b/>
          <w:bCs/>
          <w:color w:val="800000"/>
          <w:sz w:val="21"/>
          <w:szCs w:val="21"/>
          <w:lang w:eastAsia="ru-RU"/>
        </w:rPr>
        <w:t>АНАЛИТИЧЕСКИЙ ОБЗОР</w:t>
      </w:r>
    </w:p>
    <w:p w:rsidR="000A3F21" w:rsidRPr="000A3F21" w:rsidRDefault="000A3F21" w:rsidP="000A3F21">
      <w:pPr>
        <w:shd w:val="clear" w:color="auto" w:fill="FFFFFF"/>
        <w:spacing w:before="100" w:beforeAutospacing="1" w:after="100" w:afterAutospacing="1"/>
        <w:ind w:firstLine="0"/>
        <w:contextualSpacing w:val="0"/>
        <w:jc w:val="center"/>
        <w:rPr>
          <w:rFonts w:ascii="Verdana" w:eastAsia="Times New Roman" w:hAnsi="Verdana" w:cs="Times New Roman"/>
          <w:color w:val="000000"/>
          <w:sz w:val="17"/>
          <w:szCs w:val="17"/>
          <w:lang w:eastAsia="ru-RU"/>
        </w:rPr>
      </w:pPr>
      <w:r w:rsidRPr="000A3F21">
        <w:rPr>
          <w:rFonts w:ascii="Verdana" w:eastAsia="Times New Roman" w:hAnsi="Verdana" w:cs="Times New Roman"/>
          <w:b/>
          <w:bCs/>
          <w:color w:val="800000"/>
          <w:sz w:val="21"/>
          <w:szCs w:val="21"/>
          <w:lang w:eastAsia="ru-RU"/>
        </w:rPr>
        <w:t>Основные изменения, внесенные Федеральным законом № 140-ФЗ от 4 июня 2014 года</w:t>
      </w:r>
    </w:p>
    <w:p w:rsidR="000A3F21" w:rsidRPr="000A3F21" w:rsidRDefault="000A3F21" w:rsidP="000A3F21">
      <w:pPr>
        <w:shd w:val="clear" w:color="auto" w:fill="FFFFFF"/>
        <w:spacing w:before="100" w:beforeAutospacing="1" w:after="100" w:afterAutospacing="1"/>
        <w:ind w:firstLine="0"/>
        <w:contextualSpacing w:val="0"/>
        <w:jc w:val="center"/>
        <w:rPr>
          <w:rFonts w:ascii="Verdana" w:eastAsia="Times New Roman" w:hAnsi="Verdana" w:cs="Times New Roman"/>
          <w:color w:val="000000"/>
          <w:sz w:val="17"/>
          <w:szCs w:val="17"/>
          <w:lang w:eastAsia="ru-RU"/>
        </w:rPr>
      </w:pPr>
      <w:r w:rsidRPr="000A3F21">
        <w:rPr>
          <w:rFonts w:ascii="Verdana" w:eastAsia="Times New Roman" w:hAnsi="Verdana" w:cs="Times New Roman"/>
          <w:b/>
          <w:bCs/>
          <w:color w:val="000000"/>
          <w:sz w:val="21"/>
          <w:szCs w:val="21"/>
          <w:lang w:eastAsia="ru-RU"/>
        </w:rPr>
        <w:t>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88"/>
        <w:gridCol w:w="3472"/>
        <w:gridCol w:w="5659"/>
      </w:tblGrid>
      <w:tr w:rsidR="000A3F21" w:rsidRPr="000A3F21" w:rsidTr="000A3F21">
        <w:trPr>
          <w:trHeight w:val="420"/>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bookmarkStart w:id="0" w:name="_GoBack"/>
            <w:bookmarkEnd w:id="0"/>
            <w:r w:rsidRPr="000A3F21">
              <w:rPr>
                <w:rFonts w:ascii="Verdana" w:eastAsia="Times New Roman" w:hAnsi="Verdana" w:cs="Times New Roman"/>
                <w:b/>
                <w:bCs/>
                <w:color w:val="auto"/>
                <w:sz w:val="18"/>
                <w:szCs w:val="18"/>
                <w:lang w:eastAsia="ru-RU"/>
              </w:rPr>
              <w:t>Статья</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Что меняется</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center"/>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Последствия</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proofErr w:type="gramStart"/>
            <w:r w:rsidRPr="000A3F21">
              <w:rPr>
                <w:rFonts w:ascii="Verdana" w:eastAsia="Times New Roman" w:hAnsi="Verdana" w:cs="Times New Roman"/>
                <w:b/>
                <w:bCs/>
                <w:color w:val="auto"/>
                <w:sz w:val="18"/>
                <w:szCs w:val="18"/>
                <w:lang w:eastAsia="ru-RU"/>
              </w:rPr>
              <w:t>Ст.3, п.16)</w:t>
            </w:r>
            <w:proofErr w:type="gramEnd"/>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Вводится определение </w:t>
            </w:r>
            <w:r w:rsidRPr="000A3F21">
              <w:rPr>
                <w:rFonts w:ascii="Verdana" w:eastAsia="Times New Roman" w:hAnsi="Verdana" w:cs="Times New Roman"/>
                <w:color w:val="auto"/>
                <w:sz w:val="18"/>
                <w:szCs w:val="18"/>
                <w:u w:val="single"/>
                <w:lang w:eastAsia="ru-RU"/>
              </w:rPr>
              <w:t>«совокупного годового объема закупок» (СГОЗ)</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Применяется при определении:</w:t>
            </w:r>
          </w:p>
          <w:p w:rsidR="000A3F21" w:rsidRPr="000A3F21" w:rsidRDefault="000A3F21" w:rsidP="000A3F21">
            <w:pPr>
              <w:numPr>
                <w:ilvl w:val="0"/>
                <w:numId w:val="1"/>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объема закупок у субъектов малого предпринимательства (ст.30 - 15% от СГОЗ);</w:t>
            </w:r>
          </w:p>
          <w:p w:rsidR="000A3F21" w:rsidRPr="000A3F21" w:rsidRDefault="000A3F21" w:rsidP="000A3F21">
            <w:pPr>
              <w:numPr>
                <w:ilvl w:val="0"/>
                <w:numId w:val="1"/>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создания контрактной службы (ст.38 – СГОЗ &gt;100 млн.);</w:t>
            </w:r>
          </w:p>
          <w:p w:rsidR="000A3F21" w:rsidRPr="000A3F21" w:rsidRDefault="000A3F21" w:rsidP="000A3F21">
            <w:pPr>
              <w:numPr>
                <w:ilvl w:val="0"/>
                <w:numId w:val="1"/>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определения лимита на запрос котировок (ст.72 -10% от СГОЗ);</w:t>
            </w:r>
          </w:p>
          <w:p w:rsidR="000A3F21" w:rsidRPr="000A3F21" w:rsidRDefault="000A3F21" w:rsidP="000A3F21">
            <w:pPr>
              <w:numPr>
                <w:ilvl w:val="0"/>
                <w:numId w:val="1"/>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закупки у единственного поставщика (п. 4) и 5) ч.1 ст.93 - 5% и 50% соответственно от СГОЗ)</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Ст.22, ч.9.1</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Случаи применения проектно-сметного метода определения НМЦК </w:t>
            </w:r>
            <w:proofErr w:type="spellStart"/>
            <w:r w:rsidRPr="000A3F21">
              <w:rPr>
                <w:rFonts w:ascii="Verdana" w:eastAsia="Times New Roman" w:hAnsi="Verdana" w:cs="Times New Roman"/>
                <w:color w:val="auto"/>
                <w:sz w:val="18"/>
                <w:szCs w:val="18"/>
                <w:lang w:eastAsia="ru-RU"/>
              </w:rPr>
              <w:t>дополнены</w:t>
            </w:r>
            <w:r w:rsidRPr="000A3F21">
              <w:rPr>
                <w:rFonts w:ascii="Verdana" w:eastAsia="Times New Roman" w:hAnsi="Verdana" w:cs="Times New Roman"/>
                <w:color w:val="auto"/>
                <w:sz w:val="18"/>
                <w:szCs w:val="18"/>
                <w:u w:val="single"/>
                <w:lang w:eastAsia="ru-RU"/>
              </w:rPr>
              <w:t>текущим</w:t>
            </w:r>
            <w:proofErr w:type="spellEnd"/>
            <w:r w:rsidRPr="000A3F21">
              <w:rPr>
                <w:rFonts w:ascii="Verdana" w:eastAsia="Times New Roman" w:hAnsi="Verdana" w:cs="Times New Roman"/>
                <w:color w:val="auto"/>
                <w:sz w:val="18"/>
                <w:szCs w:val="18"/>
                <w:u w:val="single"/>
                <w:lang w:eastAsia="ru-RU"/>
              </w:rPr>
              <w:t xml:space="preserve"> ремонтом</w:t>
            </w:r>
            <w:r w:rsidRPr="000A3F21">
              <w:rPr>
                <w:rFonts w:ascii="Verdana" w:eastAsia="Times New Roman" w:hAnsi="Verdana" w:cs="Times New Roman"/>
                <w:color w:val="auto"/>
                <w:sz w:val="18"/>
                <w:szCs w:val="18"/>
                <w:lang w:eastAsia="ru-RU"/>
              </w:rPr>
              <w:t> зданий, строений, сооружений, помещений</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Применение проектно-сметного метода определения НМЦК при проведении текущего ремонта зданий, строений, сооружений, помещений позволит в этих случаях проводить расчет на основе сметы. В большинстве случаев именно так осуществляется </w:t>
            </w:r>
            <w:proofErr w:type="spellStart"/>
            <w:r w:rsidRPr="000A3F21">
              <w:rPr>
                <w:rFonts w:ascii="Verdana" w:eastAsia="Times New Roman" w:hAnsi="Verdana" w:cs="Times New Roman"/>
                <w:color w:val="auto"/>
                <w:sz w:val="18"/>
                <w:szCs w:val="18"/>
                <w:lang w:eastAsia="ru-RU"/>
              </w:rPr>
              <w:t>ценобразование</w:t>
            </w:r>
            <w:proofErr w:type="spellEnd"/>
            <w:r w:rsidRPr="000A3F21">
              <w:rPr>
                <w:rFonts w:ascii="Verdana" w:eastAsia="Times New Roman" w:hAnsi="Verdana" w:cs="Times New Roman"/>
                <w:color w:val="auto"/>
                <w:sz w:val="18"/>
                <w:szCs w:val="18"/>
                <w:lang w:eastAsia="ru-RU"/>
              </w:rPr>
              <w:t xml:space="preserve"> по текущим ремонтам. </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Работы по благоустройству и обслуживанию объектов коммунальной инфраструктуры не упомянуты в тесте изменений. Однако</w:t>
            </w:r>
            <w:proofErr w:type="gramStart"/>
            <w:r w:rsidRPr="000A3F21">
              <w:rPr>
                <w:rFonts w:ascii="Verdana" w:eastAsia="Times New Roman" w:hAnsi="Verdana" w:cs="Times New Roman"/>
                <w:color w:val="auto"/>
                <w:sz w:val="18"/>
                <w:szCs w:val="18"/>
                <w:lang w:eastAsia="ru-RU"/>
              </w:rPr>
              <w:t>,</w:t>
            </w:r>
            <w:proofErr w:type="gramEnd"/>
            <w:r w:rsidRPr="000A3F21">
              <w:rPr>
                <w:rFonts w:ascii="Verdana" w:eastAsia="Times New Roman" w:hAnsi="Verdana" w:cs="Times New Roman"/>
                <w:color w:val="auto"/>
                <w:sz w:val="18"/>
                <w:szCs w:val="18"/>
                <w:lang w:eastAsia="ru-RU"/>
              </w:rPr>
              <w:t xml:space="preserve"> в некоторых случаях есть возможность также рассматривать эти работы как текущий ремонт сооружений. В понятие «сооружение» входят и коммуникации, и дороги, и объекты инфраструктуры. Такое достаточно широкое определение сооружений дает, например, ОБЩЕРОССИЙСКИЙ КЛАССИФИКАТОР ОСНОВНЫХ ФОНДОВ </w:t>
            </w:r>
            <w:proofErr w:type="gramStart"/>
            <w:r w:rsidRPr="000A3F21">
              <w:rPr>
                <w:rFonts w:ascii="Verdana" w:eastAsia="Times New Roman" w:hAnsi="Verdana" w:cs="Times New Roman"/>
                <w:color w:val="auto"/>
                <w:sz w:val="18"/>
                <w:szCs w:val="18"/>
                <w:lang w:eastAsia="ru-RU"/>
              </w:rPr>
              <w:t>ОК</w:t>
            </w:r>
            <w:proofErr w:type="gramEnd"/>
            <w:r w:rsidRPr="000A3F21">
              <w:rPr>
                <w:rFonts w:ascii="Verdana" w:eastAsia="Times New Roman" w:hAnsi="Verdana" w:cs="Times New Roman"/>
                <w:color w:val="auto"/>
                <w:sz w:val="18"/>
                <w:szCs w:val="18"/>
                <w:lang w:eastAsia="ru-RU"/>
              </w:rPr>
              <w:t xml:space="preserve"> 013-94. Содержание текущего ремонта определяется сметой.</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6"/>
                <w:szCs w:val="16"/>
                <w:lang w:eastAsia="ru-RU"/>
              </w:rPr>
              <w:t> </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Ст.30</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Дополнены отдельные положения ст.30 о закупках у субъектов малого предпринимательства (СМП) и социально - ориентированных некоммерческих организаций (СОНКО)</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Уточнен порядок расчета 15-ти процентного объема закупок у СМП и СОНКО. Для статьи 30 установлен особый порядок определения СГОЗ. Дан перечень закупок, которые </w:t>
            </w:r>
            <w:r w:rsidRPr="000A3F21">
              <w:rPr>
                <w:rFonts w:ascii="Verdana" w:eastAsia="Times New Roman" w:hAnsi="Verdana" w:cs="Times New Roman"/>
                <w:color w:val="auto"/>
                <w:sz w:val="18"/>
                <w:szCs w:val="18"/>
                <w:u w:val="single"/>
                <w:lang w:eastAsia="ru-RU"/>
              </w:rPr>
              <w:t>не учитываются</w:t>
            </w:r>
            <w:r w:rsidRPr="000A3F21">
              <w:rPr>
                <w:rFonts w:ascii="Verdana" w:eastAsia="Times New Roman" w:hAnsi="Verdana" w:cs="Times New Roman"/>
                <w:color w:val="auto"/>
                <w:sz w:val="18"/>
                <w:szCs w:val="18"/>
                <w:lang w:eastAsia="ru-RU"/>
              </w:rPr>
              <w:t> при определении СГОЗ:</w:t>
            </w:r>
          </w:p>
          <w:p w:rsidR="000A3F21" w:rsidRPr="000A3F21" w:rsidRDefault="000A3F21" w:rsidP="000A3F21">
            <w:pPr>
              <w:numPr>
                <w:ilvl w:val="0"/>
                <w:numId w:val="2"/>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для обеспечения обороны страны и безопасности государства;</w:t>
            </w:r>
          </w:p>
          <w:p w:rsidR="000A3F21" w:rsidRPr="000A3F21" w:rsidRDefault="000A3F21" w:rsidP="000A3F21">
            <w:pPr>
              <w:numPr>
                <w:ilvl w:val="0"/>
                <w:numId w:val="2"/>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услуг по предоставлению кредитов;</w:t>
            </w:r>
          </w:p>
          <w:p w:rsidR="000A3F21" w:rsidRPr="000A3F21" w:rsidRDefault="000A3F21" w:rsidP="000A3F21">
            <w:pPr>
              <w:numPr>
                <w:ilvl w:val="0"/>
                <w:numId w:val="2"/>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у единственного поставщика (подрядчика, исполнителя) в соответствии с частью 1 статьи 93 Федерального закона о контрактной системе;</w:t>
            </w:r>
          </w:p>
          <w:p w:rsidR="000A3F21" w:rsidRPr="000A3F21" w:rsidRDefault="000A3F21" w:rsidP="000A3F21">
            <w:pPr>
              <w:numPr>
                <w:ilvl w:val="0"/>
                <w:numId w:val="2"/>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работ в области использования атомной энергии;</w:t>
            </w:r>
          </w:p>
          <w:p w:rsidR="000A3F21" w:rsidRPr="000A3F21" w:rsidRDefault="000A3F21" w:rsidP="000A3F21">
            <w:pPr>
              <w:numPr>
                <w:ilvl w:val="0"/>
                <w:numId w:val="2"/>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при </w:t>
            </w:r>
            <w:proofErr w:type="gramStart"/>
            <w:r w:rsidRPr="000A3F21">
              <w:rPr>
                <w:rFonts w:ascii="Verdana" w:eastAsia="Times New Roman" w:hAnsi="Verdana" w:cs="Times New Roman"/>
                <w:color w:val="auto"/>
                <w:sz w:val="18"/>
                <w:szCs w:val="18"/>
                <w:lang w:eastAsia="ru-RU"/>
              </w:rPr>
              <w:t>осуществлении</w:t>
            </w:r>
            <w:proofErr w:type="gramEnd"/>
            <w:r w:rsidRPr="000A3F21">
              <w:rPr>
                <w:rFonts w:ascii="Verdana" w:eastAsia="Times New Roman" w:hAnsi="Verdana" w:cs="Times New Roman"/>
                <w:color w:val="auto"/>
                <w:sz w:val="18"/>
                <w:szCs w:val="18"/>
                <w:lang w:eastAsia="ru-RU"/>
              </w:rPr>
              <w:t xml:space="preserve"> которых применяются закрытые способы определения поставщиков (подрядчиков, исполнителей).</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Еще ряд изменений в этой области:</w:t>
            </w:r>
          </w:p>
          <w:p w:rsidR="000A3F21" w:rsidRPr="000A3F21" w:rsidRDefault="000A3F21" w:rsidP="000A3F21">
            <w:pPr>
              <w:numPr>
                <w:ilvl w:val="0"/>
                <w:numId w:val="3"/>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детализирован порядок привлечения СМП и СОНКО в качестве субподрядчиков исполнителем по </w:t>
            </w:r>
            <w:proofErr w:type="spellStart"/>
            <w:r w:rsidRPr="000A3F21">
              <w:rPr>
                <w:rFonts w:ascii="Verdana" w:eastAsia="Times New Roman" w:hAnsi="Verdana" w:cs="Times New Roman"/>
                <w:color w:val="auto"/>
                <w:sz w:val="18"/>
                <w:szCs w:val="18"/>
                <w:lang w:eastAsia="ru-RU"/>
              </w:rPr>
              <w:t>госконтракту</w:t>
            </w:r>
            <w:proofErr w:type="spellEnd"/>
            <w:r w:rsidRPr="000A3F21">
              <w:rPr>
                <w:rFonts w:ascii="Verdana" w:eastAsia="Times New Roman" w:hAnsi="Verdana" w:cs="Times New Roman"/>
                <w:color w:val="auto"/>
                <w:sz w:val="18"/>
                <w:szCs w:val="18"/>
                <w:lang w:eastAsia="ru-RU"/>
              </w:rPr>
              <w:t xml:space="preserve"> и учета этих закупок в 15%;</w:t>
            </w:r>
          </w:p>
          <w:p w:rsidR="000A3F21" w:rsidRPr="000A3F21" w:rsidRDefault="000A3F21" w:rsidP="000A3F21">
            <w:pPr>
              <w:numPr>
                <w:ilvl w:val="0"/>
                <w:numId w:val="3"/>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установлено, что декларация участника является надлежащим подтверждением статуса СМП и </w:t>
            </w:r>
            <w:r w:rsidRPr="000A3F21">
              <w:rPr>
                <w:rFonts w:ascii="Verdana" w:eastAsia="Times New Roman" w:hAnsi="Verdana" w:cs="Times New Roman"/>
                <w:color w:val="auto"/>
                <w:sz w:val="18"/>
                <w:szCs w:val="18"/>
                <w:lang w:eastAsia="ru-RU"/>
              </w:rPr>
              <w:lastRenderedPageBreak/>
              <w:t>СОНКО;</w:t>
            </w:r>
          </w:p>
          <w:p w:rsidR="000A3F21" w:rsidRPr="000A3F21" w:rsidRDefault="000A3F21" w:rsidP="000A3F21">
            <w:pPr>
              <w:numPr>
                <w:ilvl w:val="0"/>
                <w:numId w:val="3"/>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 контракт с СМП и СОККО обязательно включается условие об оплате в течение 30 дней после подписания акта приемки по контракту или этапу контракта.</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lastRenderedPageBreak/>
              <w:t>Ст.34, ч.15</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Часть 15 Статьи «Контакт» изложена в следующей редакции: </w:t>
            </w:r>
            <w:r w:rsidRPr="000A3F21">
              <w:rPr>
                <w:rFonts w:ascii="Verdana" w:eastAsia="Times New Roman" w:hAnsi="Verdana" w:cs="Times New Roman"/>
                <w:i/>
                <w:iCs/>
                <w:color w:val="auto"/>
                <w:sz w:val="18"/>
                <w:szCs w:val="18"/>
                <w:lang w:eastAsia="ru-RU"/>
              </w:rPr>
              <w:t>«При заключении контракта в случаях, предусмотренных пунктами 1, 4, 5, 8, 15, 20, 21, 26, 28 и 29 части 1 статьи 93 настоящего Федерального закона, требования частей 4 - 9, 11 - 13 настоящей статьи заказчиком могут не применяться к указанному контракту. В этих случаях контракт может быть заключен </w:t>
            </w:r>
            <w:r w:rsidRPr="000A3F21">
              <w:rPr>
                <w:rFonts w:ascii="Verdana" w:eastAsia="Times New Roman" w:hAnsi="Verdana" w:cs="Times New Roman"/>
                <w:i/>
                <w:iCs/>
                <w:color w:val="auto"/>
                <w:sz w:val="18"/>
                <w:szCs w:val="18"/>
                <w:u w:val="single"/>
                <w:lang w:eastAsia="ru-RU"/>
              </w:rPr>
              <w:t>в любой форме,</w:t>
            </w:r>
            <w:r w:rsidRPr="000A3F21">
              <w:rPr>
                <w:rFonts w:ascii="Verdana" w:eastAsia="Times New Roman" w:hAnsi="Verdana" w:cs="Times New Roman"/>
                <w:i/>
                <w:iCs/>
                <w:color w:val="auto"/>
                <w:sz w:val="18"/>
                <w:szCs w:val="18"/>
                <w:lang w:eastAsia="ru-RU"/>
              </w:rPr>
              <w:t> предусмотренной Гражданским кодексом Российской Федерации для совершения сделок</w:t>
            </w:r>
            <w:proofErr w:type="gramStart"/>
            <w:r w:rsidRPr="000A3F21">
              <w:rPr>
                <w:rFonts w:ascii="Verdana" w:eastAsia="Times New Roman" w:hAnsi="Verdana" w:cs="Times New Roman"/>
                <w:i/>
                <w:iCs/>
                <w:color w:val="auto"/>
                <w:sz w:val="18"/>
                <w:szCs w:val="18"/>
                <w:lang w:eastAsia="ru-RU"/>
              </w:rPr>
              <w:t>.»</w:t>
            </w:r>
            <w:proofErr w:type="gramEnd"/>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6"/>
                <w:szCs w:val="16"/>
                <w:lang w:eastAsia="ru-RU"/>
              </w:rPr>
              <w:t> </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Существенно расширен перечень оснований, когда обязательные требования к содержанию контракта (ответственность поставщика и др.), установленные ст.34, могут не применяться. Например, теперь не обязательно включать все обязательные положения в контракты с коммунальными монополистами, что вызывало обоснованные сложности для заказчиков.</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Уточнено, что в перечисленных случаях (в </w:t>
            </w:r>
            <w:proofErr w:type="spellStart"/>
            <w:r w:rsidRPr="000A3F21">
              <w:rPr>
                <w:rFonts w:ascii="Verdana" w:eastAsia="Times New Roman" w:hAnsi="Verdana" w:cs="Times New Roman"/>
                <w:color w:val="auto"/>
                <w:sz w:val="18"/>
                <w:szCs w:val="18"/>
                <w:lang w:eastAsia="ru-RU"/>
              </w:rPr>
              <w:t>т.ч</w:t>
            </w:r>
            <w:proofErr w:type="spellEnd"/>
            <w:r w:rsidRPr="000A3F21">
              <w:rPr>
                <w:rFonts w:ascii="Verdana" w:eastAsia="Times New Roman" w:hAnsi="Verdana" w:cs="Times New Roman"/>
                <w:color w:val="auto"/>
                <w:sz w:val="18"/>
                <w:szCs w:val="18"/>
                <w:lang w:eastAsia="ru-RU"/>
              </w:rPr>
              <w:t xml:space="preserve">. «малых» закупках до 100 </w:t>
            </w:r>
            <w:proofErr w:type="spellStart"/>
            <w:r w:rsidRPr="000A3F21">
              <w:rPr>
                <w:rFonts w:ascii="Verdana" w:eastAsia="Times New Roman" w:hAnsi="Verdana" w:cs="Times New Roman"/>
                <w:color w:val="auto"/>
                <w:sz w:val="18"/>
                <w:szCs w:val="18"/>
                <w:lang w:eastAsia="ru-RU"/>
              </w:rPr>
              <w:t>т.р</w:t>
            </w:r>
            <w:proofErr w:type="spellEnd"/>
            <w:r w:rsidRPr="000A3F21">
              <w:rPr>
                <w:rFonts w:ascii="Verdana" w:eastAsia="Times New Roman" w:hAnsi="Verdana" w:cs="Times New Roman"/>
                <w:color w:val="auto"/>
                <w:sz w:val="18"/>
                <w:szCs w:val="18"/>
                <w:lang w:eastAsia="ru-RU"/>
              </w:rPr>
              <w:t>.) контракт может быть заключен в любой форме, предусмотренной для сделок ГК РФ. Глава 28 ГК РФ предусматривает заключение договоров («контрактов» – в терминологии 44-ФЗ) путем направления оферты и ее акцепта. Формы этих юридически значимых действий многообразны. К ним относится оплата по счетам, оплата из подотчетных средств и другие случаи, когда двусторонний письменный договор не оформляется.</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Ст.72-74</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Внесены изменения в статьи 72, 73, 74, которые регулируют вопросы </w:t>
            </w:r>
            <w:proofErr w:type="spellStart"/>
            <w:r w:rsidRPr="000A3F21">
              <w:rPr>
                <w:rFonts w:ascii="Verdana" w:eastAsia="Times New Roman" w:hAnsi="Verdana" w:cs="Times New Roman"/>
                <w:color w:val="auto"/>
                <w:sz w:val="18"/>
                <w:szCs w:val="18"/>
                <w:lang w:eastAsia="ru-RU"/>
              </w:rPr>
              <w:t>проведения</w:t>
            </w:r>
            <w:r w:rsidRPr="000A3F21">
              <w:rPr>
                <w:rFonts w:ascii="Verdana" w:eastAsia="Times New Roman" w:hAnsi="Verdana" w:cs="Times New Roman"/>
                <w:color w:val="auto"/>
                <w:sz w:val="18"/>
                <w:szCs w:val="18"/>
                <w:u w:val="single"/>
                <w:lang w:eastAsia="ru-RU"/>
              </w:rPr>
              <w:t>запроса</w:t>
            </w:r>
            <w:proofErr w:type="spellEnd"/>
            <w:r w:rsidRPr="000A3F21">
              <w:rPr>
                <w:rFonts w:ascii="Verdana" w:eastAsia="Times New Roman" w:hAnsi="Verdana" w:cs="Times New Roman"/>
                <w:color w:val="auto"/>
                <w:sz w:val="18"/>
                <w:szCs w:val="18"/>
                <w:u w:val="single"/>
                <w:lang w:eastAsia="ru-RU"/>
              </w:rPr>
              <w:t xml:space="preserve"> котировок.</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Лимиты на запрос котировок согласно ч.2 ст.72 в новой редакции будут считаться от СГОЗ, определение которого теперь дано в статье 3. Сами лимиты остались те же – 10% от СГОЗ и 100 млн. В новой редакции присутствует союз «и», который подчеркивает одновременность этих условий. Порядок проведения запроса котировок дополнен отдельными оговорками о возможности подачи и рассмотрения заявок, подаваемых в форме электронного документа.</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Ст.93, ч.1, п.4)</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i/>
                <w:iCs/>
                <w:color w:val="auto"/>
                <w:sz w:val="18"/>
                <w:szCs w:val="18"/>
                <w:lang w:eastAsia="ru-RU"/>
              </w:rP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w:t>
            </w:r>
            <w:proofErr w:type="gramStart"/>
            <w:r w:rsidRPr="000A3F21">
              <w:rPr>
                <w:rFonts w:ascii="Verdana" w:eastAsia="Times New Roman" w:hAnsi="Verdana" w:cs="Times New Roman"/>
                <w:i/>
                <w:iCs/>
                <w:color w:val="auto"/>
                <w:sz w:val="18"/>
                <w:szCs w:val="18"/>
                <w:lang w:eastAsia="ru-RU"/>
              </w:rPr>
              <w:t>.»</w:t>
            </w:r>
            <w:proofErr w:type="gramEnd"/>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6"/>
                <w:szCs w:val="16"/>
                <w:lang w:eastAsia="ru-RU"/>
              </w:rPr>
              <w:t> </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Заказчик имеет </w:t>
            </w:r>
            <w:r w:rsidRPr="000A3F21">
              <w:rPr>
                <w:rFonts w:ascii="Verdana" w:eastAsia="Times New Roman" w:hAnsi="Verdana" w:cs="Times New Roman"/>
                <w:color w:val="auto"/>
                <w:sz w:val="18"/>
                <w:szCs w:val="18"/>
                <w:u w:val="single"/>
                <w:lang w:eastAsia="ru-RU"/>
              </w:rPr>
              <w:t>право выбрать лимит</w:t>
            </w:r>
            <w:r w:rsidRPr="000A3F21">
              <w:rPr>
                <w:rFonts w:ascii="Verdana" w:eastAsia="Times New Roman" w:hAnsi="Verdana" w:cs="Times New Roman"/>
                <w:color w:val="auto"/>
                <w:sz w:val="18"/>
                <w:szCs w:val="18"/>
                <w:lang w:eastAsia="ru-RU"/>
              </w:rPr>
              <w:t xml:space="preserve"> 5% или 2 млн. руб. на годовой объем «малых» закупок до 100 </w:t>
            </w:r>
            <w:proofErr w:type="spellStart"/>
            <w:r w:rsidRPr="000A3F21">
              <w:rPr>
                <w:rFonts w:ascii="Verdana" w:eastAsia="Times New Roman" w:hAnsi="Verdana" w:cs="Times New Roman"/>
                <w:color w:val="auto"/>
                <w:sz w:val="18"/>
                <w:szCs w:val="18"/>
                <w:lang w:eastAsia="ru-RU"/>
              </w:rPr>
              <w:t>т.р</w:t>
            </w:r>
            <w:proofErr w:type="spellEnd"/>
            <w:r w:rsidRPr="000A3F21">
              <w:rPr>
                <w:rFonts w:ascii="Verdana" w:eastAsia="Times New Roman" w:hAnsi="Verdana" w:cs="Times New Roman"/>
                <w:color w:val="auto"/>
                <w:sz w:val="18"/>
                <w:szCs w:val="18"/>
                <w:lang w:eastAsia="ru-RU"/>
              </w:rPr>
              <w:t>. у единственного поставщика.</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3"/>
              <w:gridCol w:w="1991"/>
              <w:gridCol w:w="1749"/>
            </w:tblGrid>
            <w:tr w:rsidR="000A3F21" w:rsidRPr="000A3F21">
              <w:trPr>
                <w:tblCellSpacing w:w="0" w:type="dxa"/>
              </w:trPr>
              <w:tc>
                <w:tcPr>
                  <w:tcW w:w="2550"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Вариант</w:t>
                  </w:r>
                  <w:proofErr w:type="gramStart"/>
                  <w:r w:rsidRPr="000A3F21">
                    <w:rPr>
                      <w:rFonts w:ascii="Verdana" w:eastAsia="Times New Roman" w:hAnsi="Verdana" w:cs="Times New Roman"/>
                      <w:color w:val="auto"/>
                      <w:sz w:val="18"/>
                      <w:szCs w:val="18"/>
                      <w:lang w:eastAsia="ru-RU"/>
                    </w:rPr>
                    <w:t xml:space="preserve"> А</w:t>
                  </w:r>
                  <w:proofErr w:type="gramEnd"/>
                </w:p>
              </w:tc>
              <w:tc>
                <w:tcPr>
                  <w:tcW w:w="2925"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5% от СГОЗ</w:t>
                  </w:r>
                </w:p>
              </w:tc>
              <w:tc>
                <w:tcPr>
                  <w:tcW w:w="2490"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Не более 50 млн. руб.</w:t>
                  </w:r>
                </w:p>
              </w:tc>
            </w:tr>
            <w:tr w:rsidR="000A3F21" w:rsidRPr="000A3F21">
              <w:trPr>
                <w:tblCellSpacing w:w="0" w:type="dxa"/>
              </w:trPr>
              <w:tc>
                <w:tcPr>
                  <w:tcW w:w="2550"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Вариант</w:t>
                  </w:r>
                  <w:proofErr w:type="gramStart"/>
                  <w:r w:rsidRPr="000A3F21">
                    <w:rPr>
                      <w:rFonts w:ascii="Verdana" w:eastAsia="Times New Roman" w:hAnsi="Verdana" w:cs="Times New Roman"/>
                      <w:color w:val="auto"/>
                      <w:sz w:val="18"/>
                      <w:szCs w:val="18"/>
                      <w:lang w:eastAsia="ru-RU"/>
                    </w:rPr>
                    <w:t xml:space="preserve"> Б</w:t>
                  </w:r>
                  <w:proofErr w:type="gramEnd"/>
                </w:p>
              </w:tc>
              <w:tc>
                <w:tcPr>
                  <w:tcW w:w="2925"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2 млн. руб.</w:t>
                  </w:r>
                </w:p>
              </w:tc>
              <w:tc>
                <w:tcPr>
                  <w:tcW w:w="2490" w:type="dxa"/>
                  <w:tcBorders>
                    <w:top w:val="outset" w:sz="6" w:space="0" w:color="auto"/>
                    <w:left w:val="outset" w:sz="6" w:space="0" w:color="auto"/>
                    <w:bottom w:val="outset" w:sz="6" w:space="0" w:color="auto"/>
                    <w:right w:val="outset" w:sz="6" w:space="0" w:color="auto"/>
                  </w:tcBorders>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6"/>
                      <w:szCs w:val="16"/>
                      <w:lang w:eastAsia="ru-RU"/>
                    </w:rPr>
                    <w:t> </w:t>
                  </w:r>
                </w:p>
              </w:tc>
            </w:tr>
          </w:tbl>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Указанные ограничения годового объема закупок, как и ранее не применяются в отношении закупок, осуществляемых заказчиками для обеспечения муниципальных нужд сельских поселений.</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Согласно ст.2 140-ФЗ данное изменение вводится в действие «задним числом» с 01.01.2014. Таким образом, применять Вариант</w:t>
            </w:r>
            <w:proofErr w:type="gramStart"/>
            <w:r w:rsidRPr="000A3F21">
              <w:rPr>
                <w:rFonts w:ascii="Verdana" w:eastAsia="Times New Roman" w:hAnsi="Verdana" w:cs="Times New Roman"/>
                <w:color w:val="auto"/>
                <w:sz w:val="18"/>
                <w:szCs w:val="18"/>
                <w:lang w:eastAsia="ru-RU"/>
              </w:rPr>
              <w:t xml:space="preserve"> Б</w:t>
            </w:r>
            <w:proofErr w:type="gramEnd"/>
            <w:r w:rsidRPr="000A3F21">
              <w:rPr>
                <w:rFonts w:ascii="Verdana" w:eastAsia="Times New Roman" w:hAnsi="Verdana" w:cs="Times New Roman"/>
                <w:color w:val="auto"/>
                <w:sz w:val="18"/>
                <w:szCs w:val="18"/>
                <w:lang w:eastAsia="ru-RU"/>
              </w:rPr>
              <w:t xml:space="preserve"> «</w:t>
            </w:r>
            <w:proofErr w:type="spellStart"/>
            <w:r w:rsidRPr="000A3F21">
              <w:rPr>
                <w:rFonts w:ascii="Verdana" w:eastAsia="Times New Roman" w:hAnsi="Verdana" w:cs="Times New Roman"/>
                <w:color w:val="auto"/>
                <w:sz w:val="18"/>
                <w:szCs w:val="18"/>
                <w:lang w:eastAsia="ru-RU"/>
              </w:rPr>
              <w:t>малобюджетникам</w:t>
            </w:r>
            <w:proofErr w:type="spellEnd"/>
            <w:r w:rsidRPr="000A3F21">
              <w:rPr>
                <w:rFonts w:ascii="Verdana" w:eastAsia="Times New Roman" w:hAnsi="Verdana" w:cs="Times New Roman"/>
                <w:color w:val="auto"/>
                <w:sz w:val="18"/>
                <w:szCs w:val="18"/>
                <w:lang w:eastAsia="ru-RU"/>
              </w:rPr>
              <w:t>» можно уже с начала года.</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proofErr w:type="gramStart"/>
            <w:r w:rsidRPr="000A3F21">
              <w:rPr>
                <w:rFonts w:ascii="Verdana" w:eastAsia="Times New Roman" w:hAnsi="Verdana" w:cs="Times New Roman"/>
                <w:b/>
                <w:bCs/>
                <w:color w:val="auto"/>
                <w:sz w:val="18"/>
                <w:szCs w:val="18"/>
                <w:lang w:eastAsia="ru-RU"/>
              </w:rPr>
              <w:t>Ст.93, ч.1 пп.14),20), 21), 32), 35),36), 37)</w:t>
            </w:r>
            <w:proofErr w:type="gramEnd"/>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 текст закона включены </w:t>
            </w:r>
            <w:r w:rsidRPr="000A3F21">
              <w:rPr>
                <w:rFonts w:ascii="Verdana" w:eastAsia="Times New Roman" w:hAnsi="Verdana" w:cs="Times New Roman"/>
                <w:color w:val="auto"/>
                <w:sz w:val="18"/>
                <w:szCs w:val="18"/>
                <w:u w:val="single"/>
                <w:lang w:eastAsia="ru-RU"/>
              </w:rPr>
              <w:t>дополнительные основания</w:t>
            </w:r>
            <w:r w:rsidRPr="000A3F21">
              <w:rPr>
                <w:rFonts w:ascii="Verdana" w:eastAsia="Times New Roman" w:hAnsi="Verdana" w:cs="Times New Roman"/>
                <w:color w:val="auto"/>
                <w:sz w:val="18"/>
                <w:szCs w:val="18"/>
                <w:lang w:eastAsia="ru-RU"/>
              </w:rPr>
              <w:t> для осуществления закупки у единственного поставщика</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Новые основания закупок у единственного поставщика касаются специфических случаев. Наиболее важным и распространенным является получение банковской гарантии бюджетным учреждением. Зачем сделано такое уточнение и почему эта норма не </w:t>
            </w:r>
            <w:proofErr w:type="gramStart"/>
            <w:r w:rsidRPr="000A3F21">
              <w:rPr>
                <w:rFonts w:ascii="Verdana" w:eastAsia="Times New Roman" w:hAnsi="Verdana" w:cs="Times New Roman"/>
                <w:color w:val="auto"/>
                <w:sz w:val="18"/>
                <w:szCs w:val="18"/>
                <w:lang w:eastAsia="ru-RU"/>
              </w:rPr>
              <w:t>действует для других заказчиков требует</w:t>
            </w:r>
            <w:proofErr w:type="gramEnd"/>
            <w:r w:rsidRPr="000A3F21">
              <w:rPr>
                <w:rFonts w:ascii="Verdana" w:eastAsia="Times New Roman" w:hAnsi="Verdana" w:cs="Times New Roman"/>
                <w:color w:val="auto"/>
                <w:sz w:val="18"/>
                <w:szCs w:val="18"/>
                <w:lang w:eastAsia="ru-RU"/>
              </w:rPr>
              <w:t xml:space="preserve"> уточнения.</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6"/>
                <w:szCs w:val="16"/>
                <w:lang w:eastAsia="ru-RU"/>
              </w:rPr>
              <w:t> </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Ст.93, ч.3</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u w:val="single"/>
                <w:lang w:eastAsia="ru-RU"/>
              </w:rPr>
              <w:t>Обязанность</w:t>
            </w:r>
            <w:r w:rsidRPr="000A3F21">
              <w:rPr>
                <w:rFonts w:ascii="Verdana" w:eastAsia="Times New Roman" w:hAnsi="Verdana" w:cs="Times New Roman"/>
                <w:color w:val="auto"/>
                <w:sz w:val="18"/>
                <w:szCs w:val="18"/>
                <w:lang w:eastAsia="ru-RU"/>
              </w:rPr>
              <w:t>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w:t>
            </w:r>
            <w:r w:rsidRPr="000A3F21">
              <w:rPr>
                <w:rFonts w:ascii="Verdana" w:eastAsia="Times New Roman" w:hAnsi="Verdana" w:cs="Times New Roman"/>
                <w:color w:val="auto"/>
                <w:sz w:val="18"/>
                <w:szCs w:val="18"/>
                <w:u w:val="single"/>
                <w:lang w:eastAsia="ru-RU"/>
              </w:rPr>
              <w:t>отменена</w:t>
            </w:r>
            <w:r w:rsidRPr="000A3F21">
              <w:rPr>
                <w:rFonts w:ascii="Verdana" w:eastAsia="Times New Roman" w:hAnsi="Verdana" w:cs="Times New Roman"/>
                <w:color w:val="auto"/>
                <w:sz w:val="18"/>
                <w:szCs w:val="18"/>
                <w:lang w:eastAsia="ru-RU"/>
              </w:rPr>
              <w:t xml:space="preserve"> для случаев закупки у единственного </w:t>
            </w:r>
            <w:r w:rsidRPr="000A3F21">
              <w:rPr>
                <w:rFonts w:ascii="Verdana" w:eastAsia="Times New Roman" w:hAnsi="Verdana" w:cs="Times New Roman"/>
                <w:color w:val="auto"/>
                <w:sz w:val="18"/>
                <w:szCs w:val="18"/>
                <w:lang w:eastAsia="ru-RU"/>
              </w:rPr>
              <w:lastRenderedPageBreak/>
              <w:t>поставщика (подрядчика, исполнителя), предусмотренных пунктами 1, 2, 4, 5, 7, 8, 15, 16, 19 - 21, 24 - 26, 28, 29, 33, 36 части 1 статьи 93.</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lastRenderedPageBreak/>
              <w:t xml:space="preserve">Формирование отчета с обоснованием невозможности или нецелесообразности закупки иным способом, обоснованием цены и существенных условий контракта не требуется для большинства закупок у единственного поставщика, в </w:t>
            </w:r>
            <w:proofErr w:type="spellStart"/>
            <w:r w:rsidRPr="000A3F21">
              <w:rPr>
                <w:rFonts w:ascii="Verdana" w:eastAsia="Times New Roman" w:hAnsi="Verdana" w:cs="Times New Roman"/>
                <w:color w:val="auto"/>
                <w:sz w:val="18"/>
                <w:szCs w:val="18"/>
                <w:lang w:eastAsia="ru-RU"/>
              </w:rPr>
              <w:t>т.ч</w:t>
            </w:r>
            <w:proofErr w:type="spellEnd"/>
            <w:r w:rsidRPr="000A3F21">
              <w:rPr>
                <w:rFonts w:ascii="Verdana" w:eastAsia="Times New Roman" w:hAnsi="Verdana" w:cs="Times New Roman"/>
                <w:color w:val="auto"/>
                <w:sz w:val="18"/>
                <w:szCs w:val="18"/>
                <w:lang w:eastAsia="ru-RU"/>
              </w:rPr>
              <w:t xml:space="preserve">. при закупках до 100 и 400 </w:t>
            </w:r>
            <w:proofErr w:type="spellStart"/>
            <w:r w:rsidRPr="000A3F21">
              <w:rPr>
                <w:rFonts w:ascii="Verdana" w:eastAsia="Times New Roman" w:hAnsi="Verdana" w:cs="Times New Roman"/>
                <w:color w:val="auto"/>
                <w:sz w:val="18"/>
                <w:szCs w:val="18"/>
                <w:lang w:eastAsia="ru-RU"/>
              </w:rPr>
              <w:t>т.р</w:t>
            </w:r>
            <w:proofErr w:type="spellEnd"/>
            <w:r w:rsidRPr="000A3F21">
              <w:rPr>
                <w:rFonts w:ascii="Verdana" w:eastAsia="Times New Roman" w:hAnsi="Verdana" w:cs="Times New Roman"/>
                <w:color w:val="auto"/>
                <w:sz w:val="18"/>
                <w:szCs w:val="18"/>
                <w:lang w:eastAsia="ru-RU"/>
              </w:rPr>
              <w:t>. по п. 4), 5) ч.1 ст.93, соответственно.</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lastRenderedPageBreak/>
              <w:t>Ст.93, ч.4</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i/>
                <w:iCs/>
                <w:color w:val="auto"/>
                <w:sz w:val="18"/>
                <w:szCs w:val="18"/>
                <w:lang w:eastAsia="ru-RU"/>
              </w:rPr>
              <w:t>«При осуществлении закупки у единственного поставщика (подрядчика, исполнителя) контракт должен содержать расчет и обоснование цены контракта, </w:t>
            </w:r>
            <w:r w:rsidRPr="000A3F21">
              <w:rPr>
                <w:rFonts w:ascii="Verdana" w:eastAsia="Times New Roman" w:hAnsi="Verdana" w:cs="Times New Roman"/>
                <w:i/>
                <w:iCs/>
                <w:color w:val="auto"/>
                <w:sz w:val="18"/>
                <w:szCs w:val="18"/>
                <w:u w:val="single"/>
                <w:lang w:eastAsia="ru-RU"/>
              </w:rPr>
              <w:t>за исключением случаев</w:t>
            </w:r>
            <w:r w:rsidRPr="000A3F21">
              <w:rPr>
                <w:rFonts w:ascii="Verdana" w:eastAsia="Times New Roman" w:hAnsi="Verdana" w:cs="Times New Roman"/>
                <w:i/>
                <w:iCs/>
                <w:color w:val="auto"/>
                <w:sz w:val="18"/>
                <w:szCs w:val="18"/>
                <w:lang w:eastAsia="ru-RU"/>
              </w:rPr>
              <w:t xml:space="preserve"> осуществления закупки у единственного поставщика (подрядчика, исполнителя), </w:t>
            </w:r>
            <w:proofErr w:type="gramStart"/>
            <w:r w:rsidRPr="000A3F21">
              <w:rPr>
                <w:rFonts w:ascii="Verdana" w:eastAsia="Times New Roman" w:hAnsi="Verdana" w:cs="Times New Roman"/>
                <w:i/>
                <w:iCs/>
                <w:color w:val="auto"/>
                <w:sz w:val="18"/>
                <w:szCs w:val="18"/>
                <w:lang w:eastAsia="ru-RU"/>
              </w:rPr>
              <w:t>при</w:t>
            </w:r>
            <w:proofErr w:type="gramEnd"/>
            <w:r w:rsidRPr="000A3F21">
              <w:rPr>
                <w:rFonts w:ascii="Verdana" w:eastAsia="Times New Roman" w:hAnsi="Verdana" w:cs="Times New Roman"/>
                <w:i/>
                <w:iCs/>
                <w:color w:val="auto"/>
                <w:sz w:val="18"/>
                <w:szCs w:val="18"/>
                <w:lang w:eastAsia="ru-RU"/>
              </w:rPr>
              <w:t xml:space="preserve"> которых документальное оформление отчета, предусмотренного частью 3 настоящей статьи, не требуется».</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Расширен перечень исключений. Не требуется включать в контракт с единственным поставщиком расчет и обоснование цены контракта в тех же случаях закупки у единственного поставщика, которые указаны в предыдущей части. Это пункты 1, 2, 4, 5, 7, 8, 15, 16, 19 - 21, 24 - 26, 28, 29, 33, 36 части 1 статьи 93.</w:t>
            </w:r>
          </w:p>
        </w:tc>
      </w:tr>
      <w:tr w:rsidR="000A3F21" w:rsidRPr="000A3F21" w:rsidTr="000A3F21">
        <w:trPr>
          <w:tblCellSpacing w:w="0" w:type="dxa"/>
        </w:trPr>
        <w:tc>
          <w:tcPr>
            <w:tcW w:w="13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b/>
                <w:bCs/>
                <w:color w:val="auto"/>
                <w:sz w:val="18"/>
                <w:szCs w:val="18"/>
                <w:lang w:eastAsia="ru-RU"/>
              </w:rPr>
              <w:t>Ст.94</w:t>
            </w:r>
          </w:p>
        </w:tc>
        <w:tc>
          <w:tcPr>
            <w:tcW w:w="347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Существенно </w:t>
            </w:r>
            <w:r w:rsidRPr="000A3F21">
              <w:rPr>
                <w:rFonts w:ascii="Verdana" w:eastAsia="Times New Roman" w:hAnsi="Verdana" w:cs="Times New Roman"/>
                <w:color w:val="auto"/>
                <w:sz w:val="18"/>
                <w:szCs w:val="18"/>
                <w:u w:val="single"/>
                <w:lang w:eastAsia="ru-RU"/>
              </w:rPr>
              <w:t xml:space="preserve">сокращен перечень закупок, в которых требуется </w:t>
            </w:r>
            <w:proofErr w:type="gramStart"/>
            <w:r w:rsidRPr="000A3F21">
              <w:rPr>
                <w:rFonts w:ascii="Verdana" w:eastAsia="Times New Roman" w:hAnsi="Verdana" w:cs="Times New Roman"/>
                <w:color w:val="auto"/>
                <w:sz w:val="18"/>
                <w:szCs w:val="18"/>
                <w:u w:val="single"/>
                <w:lang w:eastAsia="ru-RU"/>
              </w:rPr>
              <w:t>внешняя</w:t>
            </w:r>
            <w:proofErr w:type="gramEnd"/>
            <w:r w:rsidRPr="000A3F21">
              <w:rPr>
                <w:rFonts w:ascii="Verdana" w:eastAsia="Times New Roman" w:hAnsi="Verdana" w:cs="Times New Roman"/>
                <w:color w:val="auto"/>
                <w:sz w:val="18"/>
                <w:szCs w:val="18"/>
                <w:u w:val="single"/>
                <w:lang w:eastAsia="ru-RU"/>
              </w:rPr>
              <w:t xml:space="preserve"> </w:t>
            </w:r>
            <w:proofErr w:type="spellStart"/>
            <w:r w:rsidRPr="000A3F21">
              <w:rPr>
                <w:rFonts w:ascii="Verdana" w:eastAsia="Times New Roman" w:hAnsi="Verdana" w:cs="Times New Roman"/>
                <w:color w:val="auto"/>
                <w:sz w:val="18"/>
                <w:szCs w:val="18"/>
                <w:u w:val="single"/>
                <w:lang w:eastAsia="ru-RU"/>
              </w:rPr>
              <w:t>экспертиза</w:t>
            </w:r>
            <w:r w:rsidRPr="000A3F21">
              <w:rPr>
                <w:rFonts w:ascii="Verdana" w:eastAsia="Times New Roman" w:hAnsi="Verdana" w:cs="Times New Roman"/>
                <w:color w:val="auto"/>
                <w:sz w:val="18"/>
                <w:szCs w:val="18"/>
                <w:lang w:eastAsia="ru-RU"/>
              </w:rPr>
              <w:t>исполнения</w:t>
            </w:r>
            <w:proofErr w:type="spellEnd"/>
            <w:r w:rsidRPr="000A3F21">
              <w:rPr>
                <w:rFonts w:ascii="Verdana" w:eastAsia="Times New Roman" w:hAnsi="Verdana" w:cs="Times New Roman"/>
                <w:color w:val="auto"/>
                <w:sz w:val="18"/>
                <w:szCs w:val="18"/>
                <w:lang w:eastAsia="ru-RU"/>
              </w:rPr>
              <w:t xml:space="preserve"> контракта (этапа контракта). «</w:t>
            </w:r>
            <w:r w:rsidRPr="000A3F21">
              <w:rPr>
                <w:rFonts w:ascii="Verdana" w:eastAsia="Times New Roman" w:hAnsi="Verdana" w:cs="Times New Roman"/>
                <w:i/>
                <w:iCs/>
                <w:color w:val="auto"/>
                <w:sz w:val="18"/>
                <w:szCs w:val="18"/>
                <w:lang w:eastAsia="ru-RU"/>
              </w:rPr>
              <w:t>Результаты отдельного этапа исполнения контракта (за исключением контракта, заключенного в соответствии с пунктом 4 или 5 части 1 статьи 93 настоящего Федерального закона),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w:t>
            </w:r>
          </w:p>
        </w:tc>
        <w:tc>
          <w:tcPr>
            <w:tcW w:w="56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Внешняя экспертиза не проводится в случаях:</w:t>
            </w:r>
          </w:p>
          <w:p w:rsidR="000A3F21" w:rsidRPr="000A3F21" w:rsidRDefault="000A3F21" w:rsidP="000A3F21">
            <w:pPr>
              <w:numPr>
                <w:ilvl w:val="0"/>
                <w:numId w:val="4"/>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предусмотренных пунктами 1 - 9, 14, 15, 17 - 23, пунктом 24 (только при осуществлении закупок для обеспечения федеральных нужд), пунктами 25, 26, 28 - 30, 32, 33, 36 части 1 статьи 93 Закона о контрактной системе;</w:t>
            </w:r>
          </w:p>
          <w:p w:rsidR="000A3F21" w:rsidRPr="000A3F21" w:rsidRDefault="000A3F21" w:rsidP="000A3F21">
            <w:pPr>
              <w:numPr>
                <w:ilvl w:val="0"/>
                <w:numId w:val="4"/>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осуществления закупок услуг экспертов, экспертных организаций;</w:t>
            </w:r>
          </w:p>
          <w:p w:rsidR="000A3F21" w:rsidRPr="000A3F21" w:rsidRDefault="000A3F21" w:rsidP="000A3F21">
            <w:pPr>
              <w:numPr>
                <w:ilvl w:val="0"/>
                <w:numId w:val="4"/>
              </w:numPr>
              <w:spacing w:before="100" w:beforeAutospacing="1" w:after="100" w:afterAutospacing="1"/>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Новая редакция применяется с 01.01.2014.</w:t>
            </w:r>
          </w:p>
          <w:p w:rsidR="000A3F21" w:rsidRPr="000A3F21" w:rsidRDefault="000A3F21" w:rsidP="000A3F21">
            <w:pPr>
              <w:spacing w:before="100" w:beforeAutospacing="1" w:after="100" w:afterAutospacing="1"/>
              <w:ind w:firstLine="0"/>
              <w:contextualSpacing w:val="0"/>
              <w:jc w:val="left"/>
              <w:rPr>
                <w:rFonts w:ascii="Verdana" w:eastAsia="Times New Roman" w:hAnsi="Verdana" w:cs="Times New Roman"/>
                <w:color w:val="auto"/>
                <w:sz w:val="16"/>
                <w:szCs w:val="16"/>
                <w:lang w:eastAsia="ru-RU"/>
              </w:rPr>
            </w:pPr>
            <w:r w:rsidRPr="000A3F21">
              <w:rPr>
                <w:rFonts w:ascii="Verdana" w:eastAsia="Times New Roman" w:hAnsi="Verdana" w:cs="Times New Roman"/>
                <w:color w:val="auto"/>
                <w:sz w:val="18"/>
                <w:szCs w:val="18"/>
                <w:lang w:eastAsia="ru-RU"/>
              </w:rPr>
              <w:t xml:space="preserve">Отчет по контракту (этапу контракта) в соответствии с ч.9 ст.94 не требуется для контрактов до 100 и 400 </w:t>
            </w:r>
            <w:proofErr w:type="spellStart"/>
            <w:r w:rsidRPr="000A3F21">
              <w:rPr>
                <w:rFonts w:ascii="Verdana" w:eastAsia="Times New Roman" w:hAnsi="Verdana" w:cs="Times New Roman"/>
                <w:color w:val="auto"/>
                <w:sz w:val="18"/>
                <w:szCs w:val="18"/>
                <w:lang w:eastAsia="ru-RU"/>
              </w:rPr>
              <w:t>т.р</w:t>
            </w:r>
            <w:proofErr w:type="spellEnd"/>
            <w:r w:rsidRPr="000A3F21">
              <w:rPr>
                <w:rFonts w:ascii="Verdana" w:eastAsia="Times New Roman" w:hAnsi="Verdana" w:cs="Times New Roman"/>
                <w:color w:val="auto"/>
                <w:sz w:val="18"/>
                <w:szCs w:val="18"/>
                <w:lang w:eastAsia="ru-RU"/>
              </w:rPr>
              <w:t>.</w:t>
            </w:r>
          </w:p>
        </w:tc>
      </w:tr>
    </w:tbl>
    <w:p w:rsidR="000A3F21" w:rsidRPr="000A3F21" w:rsidRDefault="000A3F21" w:rsidP="000A3F21">
      <w:pPr>
        <w:shd w:val="clear" w:color="auto" w:fill="FFFFFF"/>
        <w:spacing w:before="100" w:beforeAutospacing="1" w:after="100" w:afterAutospacing="1"/>
        <w:ind w:firstLine="0"/>
        <w:contextualSpacing w:val="0"/>
        <w:rPr>
          <w:rFonts w:ascii="Verdana" w:eastAsia="Times New Roman" w:hAnsi="Verdana" w:cs="Times New Roman"/>
          <w:color w:val="000000"/>
          <w:sz w:val="17"/>
          <w:szCs w:val="17"/>
          <w:lang w:eastAsia="ru-RU"/>
        </w:rPr>
      </w:pPr>
      <w:r w:rsidRPr="000A3F21">
        <w:rPr>
          <w:rFonts w:ascii="Verdana" w:eastAsia="Times New Roman" w:hAnsi="Verdana" w:cs="Times New Roman"/>
          <w:color w:val="000000"/>
          <w:sz w:val="17"/>
          <w:szCs w:val="17"/>
          <w:lang w:eastAsia="ru-RU"/>
        </w:rPr>
        <w:t> </w:t>
      </w:r>
    </w:p>
    <w:p w:rsidR="00724F07" w:rsidRDefault="00724F07" w:rsidP="000A3F21">
      <w:pPr>
        <w:ind w:firstLine="0"/>
      </w:pPr>
    </w:p>
    <w:sectPr w:rsidR="00724F07" w:rsidSect="000A3F21">
      <w:pgSz w:w="11906" w:h="16838"/>
      <w:pgMar w:top="568"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45D10"/>
    <w:multiLevelType w:val="multilevel"/>
    <w:tmpl w:val="D30C1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3FE4508"/>
    <w:multiLevelType w:val="multilevel"/>
    <w:tmpl w:val="2B3E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CA7A74"/>
    <w:multiLevelType w:val="multilevel"/>
    <w:tmpl w:val="F05A6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C2BE4"/>
    <w:multiLevelType w:val="multilevel"/>
    <w:tmpl w:val="22961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F21"/>
    <w:rsid w:val="000A3F21"/>
    <w:rsid w:val="00614D98"/>
    <w:rsid w:val="00724F07"/>
    <w:rsid w:val="00973D9D"/>
    <w:rsid w:val="00DF71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1A7"/>
    <w:pPr>
      <w:spacing w:after="0" w:line="240" w:lineRule="auto"/>
      <w:ind w:firstLine="567"/>
      <w:contextualSpacing/>
      <w:jc w:val="both"/>
    </w:pPr>
    <w:rPr>
      <w:rFonts w:ascii="Times New Roman" w:hAnsi="Times New Roman"/>
      <w:color w:val="000000" w:themeColor="text1"/>
      <w:sz w:val="24"/>
    </w:rPr>
  </w:style>
  <w:style w:type="paragraph" w:styleId="1">
    <w:name w:val="heading 1"/>
    <w:aliases w:val="Заголовок"/>
    <w:basedOn w:val="a"/>
    <w:next w:val="a"/>
    <w:link w:val="10"/>
    <w:uiPriority w:val="9"/>
    <w:qFormat/>
    <w:rsid w:val="00DF71A7"/>
    <w:pPr>
      <w:spacing w:line="360" w:lineRule="auto"/>
      <w:jc w:val="center"/>
      <w:outlineLvl w:val="0"/>
    </w:pPr>
    <w:rPr>
      <w:rFonts w:eastAsia="Times New Roman" w:cs="Times New Roman"/>
      <w:b/>
      <w:bCs/>
      <w:color w:val="auto"/>
      <w:kern w:val="36"/>
      <w:sz w:val="2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uiPriority w:val="9"/>
    <w:rsid w:val="00DF71A7"/>
    <w:rPr>
      <w:rFonts w:ascii="Times New Roman" w:eastAsia="Times New Roman" w:hAnsi="Times New Roman" w:cs="Times New Roman"/>
      <w:b/>
      <w:bCs/>
      <w:kern w:val="36"/>
      <w:sz w:val="28"/>
      <w:szCs w:val="48"/>
      <w:lang w:eastAsia="ru-RU"/>
    </w:rPr>
  </w:style>
  <w:style w:type="paragraph" w:styleId="a3">
    <w:name w:val="Normal (Web)"/>
    <w:basedOn w:val="a"/>
    <w:uiPriority w:val="99"/>
    <w:unhideWhenUsed/>
    <w:rsid w:val="000A3F21"/>
    <w:pPr>
      <w:spacing w:before="100" w:beforeAutospacing="1" w:after="100" w:afterAutospacing="1"/>
      <w:ind w:firstLine="0"/>
      <w:contextualSpacing w:val="0"/>
      <w:jc w:val="left"/>
    </w:pPr>
    <w:rPr>
      <w:rFonts w:eastAsia="Times New Roman" w:cs="Times New Roman"/>
      <w:color w:val="auto"/>
      <w:szCs w:val="24"/>
      <w:lang w:eastAsia="ru-RU"/>
    </w:rPr>
  </w:style>
  <w:style w:type="character" w:styleId="a4">
    <w:name w:val="Strong"/>
    <w:basedOn w:val="a0"/>
    <w:uiPriority w:val="22"/>
    <w:qFormat/>
    <w:rsid w:val="000A3F21"/>
    <w:rPr>
      <w:b/>
      <w:bCs/>
    </w:rPr>
  </w:style>
  <w:style w:type="character" w:customStyle="1" w:styleId="apple-converted-space">
    <w:name w:val="apple-converted-space"/>
    <w:basedOn w:val="a0"/>
    <w:rsid w:val="000A3F21"/>
  </w:style>
  <w:style w:type="character" w:styleId="a5">
    <w:name w:val="Emphasis"/>
    <w:basedOn w:val="a0"/>
    <w:uiPriority w:val="20"/>
    <w:qFormat/>
    <w:rsid w:val="000A3F2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1A7"/>
    <w:pPr>
      <w:spacing w:after="0" w:line="240" w:lineRule="auto"/>
      <w:ind w:firstLine="567"/>
      <w:contextualSpacing/>
      <w:jc w:val="both"/>
    </w:pPr>
    <w:rPr>
      <w:rFonts w:ascii="Times New Roman" w:hAnsi="Times New Roman"/>
      <w:color w:val="000000" w:themeColor="text1"/>
      <w:sz w:val="24"/>
    </w:rPr>
  </w:style>
  <w:style w:type="paragraph" w:styleId="1">
    <w:name w:val="heading 1"/>
    <w:aliases w:val="Заголовок"/>
    <w:basedOn w:val="a"/>
    <w:next w:val="a"/>
    <w:link w:val="10"/>
    <w:uiPriority w:val="9"/>
    <w:qFormat/>
    <w:rsid w:val="00DF71A7"/>
    <w:pPr>
      <w:spacing w:line="360" w:lineRule="auto"/>
      <w:jc w:val="center"/>
      <w:outlineLvl w:val="0"/>
    </w:pPr>
    <w:rPr>
      <w:rFonts w:eastAsia="Times New Roman" w:cs="Times New Roman"/>
      <w:b/>
      <w:bCs/>
      <w:color w:val="auto"/>
      <w:kern w:val="36"/>
      <w:sz w:val="2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uiPriority w:val="9"/>
    <w:rsid w:val="00DF71A7"/>
    <w:rPr>
      <w:rFonts w:ascii="Times New Roman" w:eastAsia="Times New Roman" w:hAnsi="Times New Roman" w:cs="Times New Roman"/>
      <w:b/>
      <w:bCs/>
      <w:kern w:val="36"/>
      <w:sz w:val="28"/>
      <w:szCs w:val="48"/>
      <w:lang w:eastAsia="ru-RU"/>
    </w:rPr>
  </w:style>
  <w:style w:type="paragraph" w:styleId="a3">
    <w:name w:val="Normal (Web)"/>
    <w:basedOn w:val="a"/>
    <w:uiPriority w:val="99"/>
    <w:unhideWhenUsed/>
    <w:rsid w:val="000A3F21"/>
    <w:pPr>
      <w:spacing w:before="100" w:beforeAutospacing="1" w:after="100" w:afterAutospacing="1"/>
      <w:ind w:firstLine="0"/>
      <w:contextualSpacing w:val="0"/>
      <w:jc w:val="left"/>
    </w:pPr>
    <w:rPr>
      <w:rFonts w:eastAsia="Times New Roman" w:cs="Times New Roman"/>
      <w:color w:val="auto"/>
      <w:szCs w:val="24"/>
      <w:lang w:eastAsia="ru-RU"/>
    </w:rPr>
  </w:style>
  <w:style w:type="character" w:styleId="a4">
    <w:name w:val="Strong"/>
    <w:basedOn w:val="a0"/>
    <w:uiPriority w:val="22"/>
    <w:qFormat/>
    <w:rsid w:val="000A3F21"/>
    <w:rPr>
      <w:b/>
      <w:bCs/>
    </w:rPr>
  </w:style>
  <w:style w:type="character" w:customStyle="1" w:styleId="apple-converted-space">
    <w:name w:val="apple-converted-space"/>
    <w:basedOn w:val="a0"/>
    <w:rsid w:val="000A3F21"/>
  </w:style>
  <w:style w:type="character" w:styleId="a5">
    <w:name w:val="Emphasis"/>
    <w:basedOn w:val="a0"/>
    <w:uiPriority w:val="20"/>
    <w:qFormat/>
    <w:rsid w:val="000A3F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835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1264</Words>
  <Characters>7207</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2014-06-18T08:09:00Z</dcterms:created>
  <dcterms:modified xsi:type="dcterms:W3CDTF">2014-06-18T08:09:00Z</dcterms:modified>
</cp:coreProperties>
</file>