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B33" w:rsidRDefault="00C80B33" w:rsidP="00C80B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229A">
        <w:rPr>
          <w:rFonts w:ascii="Times New Roman" w:hAnsi="Times New Roman" w:cs="Times New Roman"/>
          <w:b/>
          <w:sz w:val="24"/>
          <w:szCs w:val="24"/>
        </w:rPr>
        <w:t>Наименования и характеристики товаров, используемых при выполнении работ</w:t>
      </w:r>
    </w:p>
    <w:p w:rsidR="00C80B33" w:rsidRDefault="00C80B33" w:rsidP="00C80B3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2"/>
        <w:gridCol w:w="2268"/>
        <w:gridCol w:w="3153"/>
        <w:gridCol w:w="2801"/>
      </w:tblGrid>
      <w:tr w:rsidR="00C80B33" w:rsidRPr="00FA305E" w:rsidTr="009A20B4">
        <w:trPr>
          <w:trHeight w:val="515"/>
        </w:trPr>
        <w:tc>
          <w:tcPr>
            <w:tcW w:w="1702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05E">
              <w:rPr>
                <w:rFonts w:ascii="Times New Roman" w:hAnsi="Times New Roman" w:cs="Times New Roman"/>
                <w:b/>
                <w:sz w:val="24"/>
                <w:szCs w:val="24"/>
              </w:rPr>
              <w:t>Пункт сметы</w:t>
            </w:r>
          </w:p>
        </w:tc>
        <w:tc>
          <w:tcPr>
            <w:tcW w:w="2268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0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0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Показатель </w:t>
            </w:r>
          </w:p>
        </w:tc>
        <w:tc>
          <w:tcPr>
            <w:tcW w:w="2801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Значение показателя</w:t>
            </w:r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 w:val="restart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05E">
              <w:rPr>
                <w:rFonts w:ascii="Times New Roman" w:hAnsi="Times New Roman" w:cs="Times New Roman"/>
                <w:sz w:val="24"/>
                <w:szCs w:val="24"/>
              </w:rPr>
              <w:t>п. 3 Раздела 1 Локального сметного расчета</w:t>
            </w:r>
          </w:p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05E">
              <w:rPr>
                <w:rFonts w:ascii="Times New Roman" w:hAnsi="Times New Roman" w:cs="Times New Roman"/>
                <w:b/>
                <w:sz w:val="24"/>
                <w:szCs w:val="24"/>
              </w:rPr>
              <w:t>Антисептик-антипирен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«ПИРИЛАКС-ЛЮКС»</w:t>
            </w:r>
            <w:r w:rsidRPr="00FA30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древесины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для 1 группы огнезащитной эффективности</w:t>
            </w:r>
          </w:p>
        </w:tc>
        <w:tc>
          <w:tcPr>
            <w:tcW w:w="2801" w:type="dxa"/>
            <w:vAlign w:val="center"/>
          </w:tcPr>
          <w:p w:rsidR="00C80B33" w:rsidRPr="00DD6D3C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280 г/м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для получения трудногорючей и медленно распространяющей пламя древесины (ГОСТ 12.1.044)</w:t>
            </w:r>
          </w:p>
        </w:tc>
        <w:tc>
          <w:tcPr>
            <w:tcW w:w="2801" w:type="dxa"/>
            <w:vAlign w:val="center"/>
          </w:tcPr>
          <w:p w:rsidR="00C80B33" w:rsidRPr="00DD6D3C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400 г/м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 для антисептирования</w:t>
            </w:r>
          </w:p>
        </w:tc>
        <w:tc>
          <w:tcPr>
            <w:tcW w:w="2801" w:type="dxa"/>
            <w:vAlign w:val="center"/>
          </w:tcPr>
          <w:p w:rsidR="00C80B33" w:rsidRPr="00DD6D3C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100 г/м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обработки</w:t>
            </w:r>
          </w:p>
        </w:tc>
        <w:tc>
          <w:tcPr>
            <w:tcW w:w="2801" w:type="dxa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Распыление</w:t>
            </w:r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сохранения огнезащитного эффекта внутри/снаружи</w:t>
            </w:r>
          </w:p>
        </w:tc>
        <w:tc>
          <w:tcPr>
            <w:tcW w:w="2801" w:type="dxa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16лет / 5 лет</w:t>
            </w:r>
          </w:p>
        </w:tc>
      </w:tr>
      <w:tr w:rsidR="00C80B33" w:rsidRPr="00FA305E" w:rsidTr="009A20B4">
        <w:trPr>
          <w:trHeight w:val="132"/>
        </w:trPr>
        <w:tc>
          <w:tcPr>
            <w:tcW w:w="1702" w:type="dxa"/>
            <w:vMerge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сохранения антисептических свойств внутри/снаружи</w:t>
            </w:r>
          </w:p>
        </w:tc>
        <w:tc>
          <w:tcPr>
            <w:tcW w:w="2801" w:type="dxa"/>
            <w:vAlign w:val="center"/>
          </w:tcPr>
          <w:p w:rsidR="00C80B33" w:rsidRPr="00FA305E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25 лет / 10 лет</w:t>
            </w:r>
          </w:p>
        </w:tc>
      </w:tr>
      <w:tr w:rsidR="00C80B33" w:rsidRPr="00F10E23" w:rsidTr="009A20B4">
        <w:trPr>
          <w:trHeight w:val="300"/>
        </w:trPr>
        <w:tc>
          <w:tcPr>
            <w:tcW w:w="1702" w:type="dxa"/>
            <w:vMerge w:val="restart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6 Раздела 1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E23">
              <w:rPr>
                <w:rFonts w:ascii="Times New Roman" w:hAnsi="Times New Roman" w:cs="Times New Roman"/>
                <w:b/>
                <w:sz w:val="24"/>
                <w:szCs w:val="24"/>
              </w:rPr>
              <w:t>Профнастил оцинкованный с покрытием полиэстер</w:t>
            </w:r>
          </w:p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E23">
              <w:rPr>
                <w:rFonts w:ascii="Times New Roman" w:hAnsi="Times New Roman" w:cs="Times New Roman"/>
                <w:b/>
                <w:sz w:val="24"/>
                <w:szCs w:val="24"/>
              </w:rPr>
              <w:t>Н60-845-0,7</w:t>
            </w: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листа,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C80B33" w:rsidRPr="00F10E23" w:rsidTr="009A20B4">
        <w:trPr>
          <w:trHeight w:val="2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Ширина листа,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845</w:t>
            </w:r>
          </w:p>
        </w:tc>
      </w:tr>
      <w:tr w:rsidR="00C80B33" w:rsidRPr="00F10E23" w:rsidTr="009A20B4">
        <w:trPr>
          <w:trHeight w:val="2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Высота листа,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C80B33" w:rsidRPr="00F10E23" w:rsidTr="009A20B4">
        <w:trPr>
          <w:trHeight w:val="2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Масса 1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/м длины, кг</w:t>
            </w:r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</w:tr>
      <w:tr w:rsidR="00C80B33" w:rsidRPr="00F10E23" w:rsidTr="009A20B4">
        <w:trPr>
          <w:trHeight w:val="2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Масса одного полезного кв.м., кг</w:t>
            </w:r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 w:val="restart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11 Раздела 1 Локального сметного расчета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C80B33" w:rsidRPr="004420B0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B0">
              <w:rPr>
                <w:rFonts w:ascii="Times New Roman" w:hAnsi="Times New Roman" w:cs="Times New Roman"/>
                <w:b/>
                <w:sz w:val="24"/>
                <w:szCs w:val="24"/>
              </w:rPr>
              <w:t>Лист стальной гладкий с покрытием полиэстер, толщиной 0,5 мм</w:t>
            </w: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металла,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proofErr w:type="gramEnd"/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Толщина покрытия лицевой стороны,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мкм</w:t>
            </w:r>
            <w:proofErr w:type="gramEnd"/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25</w:t>
            </w:r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Коррозионная стойкость</w:t>
            </w:r>
          </w:p>
        </w:tc>
        <w:tc>
          <w:tcPr>
            <w:tcW w:w="2801" w:type="dxa"/>
            <w:vAlign w:val="center"/>
          </w:tcPr>
          <w:p w:rsidR="00C80B33" w:rsidRPr="00F10E2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удовлетворительная</w:t>
            </w:r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 радиус изгиба</w:t>
            </w:r>
          </w:p>
        </w:tc>
        <w:tc>
          <w:tcPr>
            <w:tcW w:w="2801" w:type="dxa"/>
            <w:vAlign w:val="center"/>
          </w:tcPr>
          <w:p w:rsidR="00C80B33" w:rsidRPr="00B0157C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xt</w:t>
            </w:r>
            <w:proofErr w:type="spellEnd"/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Цветостойкость</w:t>
            </w:r>
          </w:p>
        </w:tc>
        <w:tc>
          <w:tcPr>
            <w:tcW w:w="2801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хорошая</w:t>
            </w:r>
          </w:p>
        </w:tc>
      </w:tr>
      <w:tr w:rsidR="00C80B33" w:rsidRPr="00F10E23" w:rsidTr="009A20B4">
        <w:trPr>
          <w:trHeight w:val="398"/>
        </w:trPr>
        <w:tc>
          <w:tcPr>
            <w:tcW w:w="1702" w:type="dxa"/>
            <w:vMerge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3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Устойчивость к механическим повреждениям</w:t>
            </w:r>
          </w:p>
        </w:tc>
        <w:tc>
          <w:tcPr>
            <w:tcW w:w="2801" w:type="dxa"/>
            <w:vAlign w:val="center"/>
          </w:tcPr>
          <w:p w:rsidR="00C80B33" w:rsidRDefault="00C80B33" w:rsidP="009A20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удовлетворительная</w:t>
            </w:r>
          </w:p>
        </w:tc>
      </w:tr>
    </w:tbl>
    <w:p w:rsidR="000661C9" w:rsidRDefault="000661C9">
      <w:bookmarkStart w:id="0" w:name="_GoBack"/>
      <w:bookmarkEnd w:id="0"/>
    </w:p>
    <w:sectPr w:rsidR="000661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B33"/>
    <w:rsid w:val="000661C9"/>
    <w:rsid w:val="00C8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0B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2014-04-14T07:27:00Z</dcterms:created>
  <dcterms:modified xsi:type="dcterms:W3CDTF">2014-04-14T07:27:00Z</dcterms:modified>
</cp:coreProperties>
</file>