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99E" w:rsidRDefault="00EB699E" w:rsidP="00EB699E">
      <w:pPr>
        <w:pStyle w:val="ConsPlusNormal"/>
        <w:jc w:val="both"/>
        <w:outlineLvl w:val="0"/>
      </w:pPr>
    </w:p>
    <w:p w:rsidR="00EB699E" w:rsidRDefault="00EB699E" w:rsidP="00EB699E">
      <w:pPr>
        <w:pStyle w:val="ConsPlusNormal"/>
        <w:jc w:val="center"/>
        <w:rPr>
          <w:b/>
          <w:bCs/>
        </w:rPr>
      </w:pPr>
      <w:r>
        <w:rPr>
          <w:b/>
          <w:bCs/>
        </w:rPr>
        <w:t>ФЕДЕРАЛЬНАЯ АНТИМОНОПОЛЬНАЯ СЛУЖБА</w:t>
      </w:r>
    </w:p>
    <w:p w:rsidR="00EB699E" w:rsidRDefault="00EB699E" w:rsidP="00EB699E">
      <w:pPr>
        <w:pStyle w:val="ConsPlusNormal"/>
        <w:jc w:val="center"/>
        <w:rPr>
          <w:b/>
          <w:bCs/>
        </w:rPr>
      </w:pPr>
    </w:p>
    <w:p w:rsidR="00EB699E" w:rsidRDefault="00EB699E" w:rsidP="00EB699E">
      <w:pPr>
        <w:pStyle w:val="ConsPlusNormal"/>
        <w:jc w:val="center"/>
        <w:rPr>
          <w:b/>
          <w:bCs/>
        </w:rPr>
      </w:pPr>
      <w:r>
        <w:rPr>
          <w:b/>
          <w:bCs/>
        </w:rPr>
        <w:t>РЕКОМЕНДАЦИИ</w:t>
      </w:r>
    </w:p>
    <w:p w:rsidR="00EB699E" w:rsidRDefault="00EB699E" w:rsidP="00EB699E">
      <w:pPr>
        <w:pStyle w:val="ConsPlusNormal"/>
        <w:jc w:val="center"/>
        <w:rPr>
          <w:b/>
          <w:bCs/>
        </w:rPr>
      </w:pPr>
      <w:r>
        <w:rPr>
          <w:b/>
          <w:bCs/>
        </w:rPr>
        <w:t>ПО ОСУЩЕСТВЛЕНИЮ ГОСУДАРСТВЕННЫХ ЗАКУПОК ПЕРСОНАЛЬНЫХ</w:t>
      </w:r>
    </w:p>
    <w:p w:rsidR="00EB699E" w:rsidRDefault="00EB699E" w:rsidP="00EB699E">
      <w:pPr>
        <w:pStyle w:val="ConsPlusNormal"/>
        <w:jc w:val="center"/>
        <w:rPr>
          <w:b/>
          <w:bCs/>
        </w:rPr>
      </w:pPr>
      <w:r>
        <w:rPr>
          <w:b/>
          <w:bCs/>
        </w:rPr>
        <w:t>КОМПЬЮТЕРОВ В РФ</w:t>
      </w:r>
    </w:p>
    <w:p w:rsidR="00EB699E" w:rsidRDefault="00EB699E" w:rsidP="00EB699E">
      <w:pPr>
        <w:pStyle w:val="ConsPlusNormal"/>
        <w:jc w:val="center"/>
      </w:pPr>
    </w:p>
    <w:p w:rsidR="00EB699E" w:rsidRDefault="00EB699E" w:rsidP="00EB699E">
      <w:pPr>
        <w:pStyle w:val="ConsPlusNormal"/>
        <w:jc w:val="center"/>
        <w:outlineLvl w:val="0"/>
      </w:pPr>
      <w:r>
        <w:t>1. Введение</w:t>
      </w:r>
    </w:p>
    <w:p w:rsidR="00EB699E" w:rsidRDefault="00EB699E" w:rsidP="00EB699E">
      <w:pPr>
        <w:pStyle w:val="ConsPlusNormal"/>
        <w:ind w:firstLine="540"/>
        <w:jc w:val="both"/>
      </w:pPr>
    </w:p>
    <w:p w:rsidR="00EB699E" w:rsidRDefault="00EB699E" w:rsidP="00EB699E">
      <w:pPr>
        <w:pStyle w:val="ConsPlusNormal"/>
        <w:ind w:firstLine="540"/>
        <w:jc w:val="both"/>
      </w:pPr>
      <w:r>
        <w:t>Микропроцессоры, как составная часть компьютеров, ноутбуков или серверов, закупаются в составе перечисленного оборудования, которое приобретается государственными и муниципальными органами ("заказчики") с помощью электронных аукционов, проводимых на официальных электронных площадках в сети "Интернет".</w:t>
      </w:r>
    </w:p>
    <w:p w:rsidR="00EB699E" w:rsidRDefault="00EB699E" w:rsidP="00EB699E">
      <w:pPr>
        <w:pStyle w:val="ConsPlusNormal"/>
        <w:ind w:firstLine="540"/>
        <w:jc w:val="both"/>
      </w:pPr>
      <w:r>
        <w:t>При закупке персональных компьютеров, ноутбуков и серверов чрезвычайно важным является соблюдение честной и открытой конкуренции, в том числе между разработчиками процессоров архитектуры "x86".</w:t>
      </w:r>
    </w:p>
    <w:p w:rsidR="00EB699E" w:rsidRDefault="00EB699E" w:rsidP="00EB699E">
      <w:pPr>
        <w:pStyle w:val="ConsPlusNormal"/>
        <w:ind w:firstLine="540"/>
        <w:jc w:val="both"/>
      </w:pPr>
      <w:r>
        <w:t>Федеральной антимонопольной службой России (далее - ФАС России) установлено, что увеличение числа предложений от участников аукционов - производителей компьютеров - на базе микропроцессоров разных разработчиков может привести к снижению цен и экономии бюджетных сре</w:t>
      </w:r>
      <w:proofErr w:type="gramStart"/>
      <w:r>
        <w:t>дств пр</w:t>
      </w:r>
      <w:proofErr w:type="gramEnd"/>
      <w:r>
        <w:t>и проведении аукциона. Конкуренция помогает обеспечить наилучший выбор и цену для заказчика. На сэкономленные средства заказчики смогли бы увеличить количество поставляемого оборудования с целью обеспечения государственных служащих самыми современными технологиями.</w:t>
      </w:r>
    </w:p>
    <w:p w:rsidR="00EB699E" w:rsidRDefault="00EB699E" w:rsidP="00EB699E">
      <w:pPr>
        <w:pStyle w:val="ConsPlusNormal"/>
        <w:ind w:firstLine="540"/>
        <w:jc w:val="both"/>
      </w:pPr>
      <w:r>
        <w:t>Таким образом, для того, чтобы, с одной стороны, способствовать повышению конкуренции при проведении торгов среди всех потенциальных участников аукционов на поставку компьютерного оборудования с использованием микропроцессоров архитектуры "x86", а с другой - позволить заказчикам получить максимальную выгоду при проведении закупок, ФАС России обращает внимание на недопустимость следующих действий:</w:t>
      </w:r>
    </w:p>
    <w:p w:rsidR="00EB699E" w:rsidRDefault="00EB699E" w:rsidP="00EB699E">
      <w:pPr>
        <w:pStyle w:val="ConsPlusNormal"/>
        <w:ind w:firstLine="540"/>
        <w:jc w:val="both"/>
      </w:pPr>
      <w:proofErr w:type="gramStart"/>
      <w:r>
        <w:t>при составлении технических спецификаций аукционной документации включать в технические характеристики описание, характерное только для одного разработчика микропроцессоров и его компонентов, то есть описывать тип одного единственного микропроцессора с указанием на его товарный знак; указывать конкретные технические характеристики (например, тактовая частота, кэш-память и т.д.), совокупности которых соответствует только один разработчик микропроцессоров и его компонентов, даже со словами "или эквивалент";</w:t>
      </w:r>
      <w:proofErr w:type="gramEnd"/>
    </w:p>
    <w:p w:rsidR="00EB699E" w:rsidRDefault="00EB699E" w:rsidP="00EB699E">
      <w:pPr>
        <w:pStyle w:val="ConsPlusNormal"/>
        <w:ind w:firstLine="540"/>
        <w:jc w:val="both"/>
      </w:pPr>
      <w:r>
        <w:t>при использовании слов "или эквивалент" не указывать параметры эквивалентности товара, с целью определения соответствия предлагаемого к поставке товара потребностям заказчика.</w:t>
      </w:r>
    </w:p>
    <w:p w:rsidR="00EB699E" w:rsidRDefault="00EB699E" w:rsidP="00EB699E">
      <w:pPr>
        <w:pStyle w:val="ConsPlusNormal"/>
        <w:ind w:firstLine="540"/>
        <w:jc w:val="both"/>
      </w:pPr>
      <w:r>
        <w:t xml:space="preserve">Два наиболее активных разработчика на рынке микропроцессоров архитектуры "x86" - это компании </w:t>
      </w:r>
      <w:proofErr w:type="spellStart"/>
      <w:r>
        <w:t>Intel</w:t>
      </w:r>
      <w:proofErr w:type="spellEnd"/>
      <w:r>
        <w:t xml:space="preserve"> и AMD. В </w:t>
      </w:r>
      <w:proofErr w:type="gramStart"/>
      <w:r>
        <w:t>связи</w:t>
      </w:r>
      <w:proofErr w:type="gramEnd"/>
      <w:r>
        <w:t xml:space="preserve"> с чем при размещении заказа на закупку микропроцессора архитектуры "x86" заказчикам следует указывать характеристики сопоставимых платформ на базе процессоров </w:t>
      </w:r>
      <w:proofErr w:type="spellStart"/>
      <w:r>
        <w:t>Intel</w:t>
      </w:r>
      <w:proofErr w:type="spellEnd"/>
      <w:r>
        <w:t xml:space="preserve"> и AMD, а также аналогичные платформы других разработчиков (если они существуют).</w:t>
      </w:r>
    </w:p>
    <w:p w:rsidR="00EB699E" w:rsidRDefault="00EB699E" w:rsidP="00EB699E">
      <w:pPr>
        <w:pStyle w:val="ConsPlusNormal"/>
        <w:ind w:firstLine="540"/>
        <w:jc w:val="both"/>
      </w:pPr>
    </w:p>
    <w:p w:rsidR="00EB699E" w:rsidRDefault="00EB699E" w:rsidP="00EB699E">
      <w:pPr>
        <w:pStyle w:val="ConsPlusNormal"/>
        <w:jc w:val="center"/>
        <w:outlineLvl w:val="0"/>
      </w:pPr>
      <w:r>
        <w:t>2. Проблематика</w:t>
      </w:r>
    </w:p>
    <w:p w:rsidR="00EB699E" w:rsidRDefault="00EB699E" w:rsidP="00EB699E">
      <w:pPr>
        <w:pStyle w:val="ConsPlusNormal"/>
        <w:jc w:val="center"/>
      </w:pPr>
    </w:p>
    <w:p w:rsidR="00EB699E" w:rsidRDefault="00EB699E" w:rsidP="00EB699E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4" w:history="1">
        <w:r>
          <w:rPr>
            <w:color w:val="0000FF"/>
          </w:rPr>
          <w:t>пунктом 1 части 4 статьи 41.6</w:t>
        </w:r>
      </w:hyperlink>
      <w:r>
        <w:t xml:space="preserve"> Федерального закона от 21 июля 2005 г. N 94-ФЗ "О размещении заказов на поставки товаров, выполнение работ, оказание услуг для государственных и муниципальных нужд" (далее - Закон N 94-ФЗ) заказчик в документации об аукционе указывает требования к техническим характеристикам закупаемого товара (компьютеры, ноутбуки, серверы).</w:t>
      </w:r>
      <w:proofErr w:type="gramEnd"/>
    </w:p>
    <w:p w:rsidR="00EB699E" w:rsidRDefault="00EB699E" w:rsidP="00EB699E">
      <w:pPr>
        <w:pStyle w:val="ConsPlusNormal"/>
        <w:ind w:firstLine="540"/>
        <w:jc w:val="both"/>
      </w:pPr>
      <w:proofErr w:type="gramStart"/>
      <w:r>
        <w:t xml:space="preserve">В соответствии с </w:t>
      </w:r>
      <w:hyperlink r:id="rId5" w:history="1">
        <w:r>
          <w:rPr>
            <w:color w:val="0000FF"/>
          </w:rPr>
          <w:t>частью 3 статьи 34</w:t>
        </w:r>
      </w:hyperlink>
      <w:r>
        <w:t xml:space="preserve"> Закон N 94-ФЗ в случае, если размещение заказов осуществляется в форме электронного аукциона, документация об аукционе может содержать указание на товарные знаки, которые должны сопровождаться словами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размещения</w:t>
      </w:r>
      <w:proofErr w:type="gramEnd"/>
      <w:r>
        <w:t xml:space="preserve"> заказов на поставки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Эквивалентность товаров определяется в соответствии с требованиями и показателями, устанавливаемыми в соответствии с </w:t>
      </w:r>
      <w:hyperlink r:id="rId6" w:history="1">
        <w:r>
          <w:rPr>
            <w:color w:val="0000FF"/>
          </w:rPr>
          <w:t>частью 2 статьи 34</w:t>
        </w:r>
      </w:hyperlink>
      <w:r>
        <w:t xml:space="preserve"> Закона N 94-ФЗ.</w:t>
      </w:r>
    </w:p>
    <w:p w:rsidR="00EB699E" w:rsidRDefault="00EB699E" w:rsidP="00EB699E">
      <w:pPr>
        <w:pStyle w:val="ConsPlusNormal"/>
        <w:ind w:firstLine="540"/>
        <w:jc w:val="both"/>
      </w:pPr>
      <w:r>
        <w:t xml:space="preserve">Таким образом, помимо указания на товарные знаки, которые должны сопровождаться словами "или эквивалент", заказчик обязан установить в документации о торгах параметры эквивалентности, в соответствии с которыми участник делает предложение по поставке эквивалентного товара, а заказчик определяет соответствия предлагаемого товара своим потребностям. </w:t>
      </w:r>
      <w:proofErr w:type="gramStart"/>
      <w:r>
        <w:t xml:space="preserve">При этом в соответствии с </w:t>
      </w:r>
      <w:hyperlink r:id="rId7" w:history="1">
        <w:r>
          <w:rPr>
            <w:color w:val="0000FF"/>
          </w:rPr>
          <w:t>частью 3.1 статьи 34</w:t>
        </w:r>
      </w:hyperlink>
      <w:r>
        <w:t xml:space="preserve"> Закона N 94-ФЗ и </w:t>
      </w:r>
      <w:hyperlink r:id="rId8" w:history="1">
        <w:r>
          <w:rPr>
            <w:color w:val="0000FF"/>
          </w:rPr>
          <w:t>частью 1 статьи 17</w:t>
        </w:r>
      </w:hyperlink>
      <w:r>
        <w:t xml:space="preserve"> Федерального </w:t>
      </w:r>
      <w:hyperlink r:id="rId9" w:history="1">
        <w:r>
          <w:rPr>
            <w:color w:val="0000FF"/>
          </w:rPr>
          <w:t>закона</w:t>
        </w:r>
      </w:hyperlink>
      <w:r>
        <w:t xml:space="preserve"> от 26 июля 2006 г. N 135-ФЗ "О защите </w:t>
      </w:r>
      <w:r>
        <w:lastRenderedPageBreak/>
        <w:t>конкуренции" ("Закон N 135-ФЗ") при проведении торгов запрещаются действия, которые приводят или могут привести к ограничению количества участников размещения заказа и, как следствие, к ограничению или устранению конкуренции.</w:t>
      </w:r>
      <w:proofErr w:type="gramEnd"/>
      <w:r>
        <w:t xml:space="preserve"> </w:t>
      </w:r>
      <w:proofErr w:type="gramStart"/>
      <w:r>
        <w:t xml:space="preserve">Вместе с тем ФАС России выявлены случаи, когда при формировании технических требований к товару в документации о торгах в соответствии с нормами </w:t>
      </w:r>
      <w:hyperlink r:id="rId10" w:history="1">
        <w:r>
          <w:rPr>
            <w:color w:val="0000FF"/>
          </w:rPr>
          <w:t>Закона N 94-ФЗ</w:t>
        </w:r>
      </w:hyperlink>
      <w:r>
        <w:t xml:space="preserve"> (с указанием на товарный знак одного из производителей процессоров со словами "или эквивалент") устанавливаемые требования могут привести к ограничению участия в аукционе для компаний, предлагающих к аукциону компьютеры с микропроцессорами других разработчиков микропроцессоров, что является</w:t>
      </w:r>
      <w:proofErr w:type="gramEnd"/>
      <w:r>
        <w:t xml:space="preserve"> нарушением указанных выше норм </w:t>
      </w:r>
      <w:hyperlink r:id="rId11" w:history="1">
        <w:r>
          <w:rPr>
            <w:color w:val="0000FF"/>
          </w:rPr>
          <w:t>Закона N 94-ФЗ</w:t>
        </w:r>
      </w:hyperlink>
      <w:r>
        <w:t xml:space="preserve"> и </w:t>
      </w:r>
      <w:hyperlink r:id="rId12" w:history="1">
        <w:r>
          <w:rPr>
            <w:color w:val="0000FF"/>
          </w:rPr>
          <w:t>Закона N 135-ФЗ</w:t>
        </w:r>
      </w:hyperlink>
      <w:r>
        <w:t xml:space="preserve"> по следующим причинам: участники аукциона с целью гарантированного участия в аукционе предлагают к поставке компьютеры на базе процессоров/</w:t>
      </w:r>
      <w:proofErr w:type="spellStart"/>
      <w:r>
        <w:t>чипсета</w:t>
      </w:r>
      <w:proofErr w:type="spellEnd"/>
      <w:r>
        <w:t xml:space="preserve"> торговой марки, указанной в технической спецификации; в ряде случаев существует сложность в доказывании участниками аукциона эквивалентности технических характеристик продуктов, предлагаемых к поставке, указанным в технических требованиях характеристикам: не исключен риск того, что предложение участников аукциона будет отклонено из-за различий, по мнению заказчика, в технических характеристиках и несоответствия им.</w:t>
      </w:r>
    </w:p>
    <w:p w:rsidR="00EB699E" w:rsidRDefault="00EB699E" w:rsidP="00EB699E">
      <w:pPr>
        <w:pStyle w:val="ConsPlusNormal"/>
        <w:ind w:firstLine="540"/>
        <w:jc w:val="both"/>
      </w:pPr>
    </w:p>
    <w:p w:rsidR="00EB699E" w:rsidRDefault="00EB699E" w:rsidP="00EB699E">
      <w:pPr>
        <w:pStyle w:val="ConsPlusNormal"/>
        <w:jc w:val="center"/>
        <w:outlineLvl w:val="0"/>
      </w:pPr>
      <w:r>
        <w:t>3. Обзор возможных нарушений</w:t>
      </w:r>
    </w:p>
    <w:p w:rsidR="00EB699E" w:rsidRDefault="00EB699E" w:rsidP="00EB699E">
      <w:pPr>
        <w:pStyle w:val="ConsPlusNormal"/>
        <w:jc w:val="center"/>
      </w:pPr>
    </w:p>
    <w:p w:rsidR="00EB699E" w:rsidRDefault="00EB699E" w:rsidP="00EB699E">
      <w:pPr>
        <w:pStyle w:val="ConsPlusNormal"/>
        <w:ind w:firstLine="540"/>
        <w:jc w:val="both"/>
      </w:pPr>
      <w:proofErr w:type="gramStart"/>
      <w:r>
        <w:t xml:space="preserve">Дискриминационные технические требования к персональным компьютерам и ноутбукам с указанием товарного знака одного разработчика микропроцессоров (без сопровождения словами "или эквивалент" и указания параметров эквивалентности) могут привести к нарушению положений следующих норм: </w:t>
      </w:r>
      <w:hyperlink r:id="rId13" w:history="1">
        <w:r>
          <w:rPr>
            <w:color w:val="0000FF"/>
          </w:rPr>
          <w:t>части 3 статьи 34</w:t>
        </w:r>
      </w:hyperlink>
      <w:r>
        <w:t xml:space="preserve"> Закона N 94-ФЗ, если указание на товарный знак не сопровождается словами "или эквивалент" или не указаны параметры эквивалентности;</w:t>
      </w:r>
      <w:proofErr w:type="gramEnd"/>
      <w:r>
        <w:t xml:space="preserve"> </w:t>
      </w:r>
      <w:hyperlink r:id="rId14" w:history="1">
        <w:r>
          <w:rPr>
            <w:color w:val="0000FF"/>
          </w:rPr>
          <w:t>части 3.1 статьи 34</w:t>
        </w:r>
      </w:hyperlink>
      <w:r>
        <w:t xml:space="preserve"> Закона N 94-ФЗ, если аукционная документация содержит требования к товарам, которые ведут к ограничению числа участников размещения заказа; </w:t>
      </w:r>
      <w:hyperlink r:id="rId15" w:history="1">
        <w:r>
          <w:rPr>
            <w:color w:val="0000FF"/>
          </w:rPr>
          <w:t>части 1 статьи 17</w:t>
        </w:r>
      </w:hyperlink>
      <w:r>
        <w:t xml:space="preserve"> Закона N 135-ФЗ, если формулировки, используемые в аукционной документации, ограничивают число участников торгов и, тем самым, ведут к ограничению конкуренции.</w:t>
      </w:r>
    </w:p>
    <w:p w:rsidR="00EB699E" w:rsidRDefault="00EB699E" w:rsidP="00EB699E">
      <w:pPr>
        <w:pStyle w:val="ConsPlusNormal"/>
        <w:ind w:firstLine="540"/>
        <w:jc w:val="both"/>
      </w:pPr>
    </w:p>
    <w:p w:rsidR="00EB699E" w:rsidRDefault="00EB699E" w:rsidP="00EB699E">
      <w:pPr>
        <w:pStyle w:val="ConsPlusNormal"/>
        <w:jc w:val="center"/>
        <w:outlineLvl w:val="0"/>
      </w:pPr>
      <w:r>
        <w:t>4. Примеры технических спецификаций, которые нарушают</w:t>
      </w:r>
    </w:p>
    <w:p w:rsidR="00EB699E" w:rsidRDefault="00EB699E" w:rsidP="00EB699E">
      <w:pPr>
        <w:pStyle w:val="ConsPlusNormal"/>
        <w:jc w:val="center"/>
      </w:pPr>
      <w:r>
        <w:t>законы и ведут к ограничению конкуренции</w:t>
      </w:r>
    </w:p>
    <w:p w:rsidR="00EB699E" w:rsidRDefault="00EB699E" w:rsidP="00EB699E">
      <w:pPr>
        <w:pStyle w:val="ConsPlusNormal"/>
        <w:ind w:firstLine="540"/>
        <w:jc w:val="both"/>
      </w:pPr>
    </w:p>
    <w:p w:rsidR="00EB699E" w:rsidRDefault="00EB699E" w:rsidP="00EB699E">
      <w:pPr>
        <w:pStyle w:val="ConsPlusNormal"/>
        <w:ind w:firstLine="540"/>
        <w:jc w:val="both"/>
      </w:pPr>
      <w:proofErr w:type="gramStart"/>
      <w:r>
        <w:t>В данном разделе приведено несколько примеров дискриминационных технических спецификаций, которые приводят или могут привести к ограничению конкуренции и, следовательно, влекут привлечение к ответственности за их установление (в данном документе приведен лишь неполный список возможных спецификаций, нарушающих конкуренцию).</w:t>
      </w:r>
      <w:proofErr w:type="gramEnd"/>
    </w:p>
    <w:p w:rsidR="00EB699E" w:rsidRDefault="00EB699E" w:rsidP="00EB699E">
      <w:pPr>
        <w:pStyle w:val="ConsPlusNormal"/>
        <w:ind w:firstLine="540"/>
        <w:jc w:val="both"/>
      </w:pPr>
      <w:proofErr w:type="spellStart"/>
      <w:r>
        <w:t>i</w:t>
      </w:r>
      <w:proofErr w:type="spellEnd"/>
      <w:r>
        <w:t>. Включение в техническую спецификацию указания на товарный знак определенного разработчика микропроцессоров и изложение специфических технических характеристик данного микропроцессора с сопровождением слов "или эквивалент".</w:t>
      </w:r>
    </w:p>
    <w:p w:rsidR="00EB699E" w:rsidRDefault="00EB699E" w:rsidP="00EB699E">
      <w:pPr>
        <w:pStyle w:val="ConsPlusNormal"/>
        <w:ind w:firstLine="540"/>
        <w:jc w:val="both"/>
      </w:pPr>
      <w:r>
        <w:t xml:space="preserve">Пример спецификации: </w:t>
      </w:r>
      <w:proofErr w:type="gramStart"/>
      <w:r>
        <w:t xml:space="preserve">Процессор </w:t>
      </w:r>
      <w:proofErr w:type="spellStart"/>
      <w:r>
        <w:t>Intel</w:t>
      </w:r>
      <w:proofErr w:type="spellEnd"/>
      <w:r>
        <w:t xml:space="preserve"> или эквивалент, количество ядер - не менее 2, тактовая частота - не менее 2,93 Гц, не менее 4-х процессорных потоков, Тепловыделение (TDP) - не более 78 Ватт, Технология 32 </w:t>
      </w:r>
      <w:proofErr w:type="spellStart"/>
      <w:r>
        <w:t>nm</w:t>
      </w:r>
      <w:proofErr w:type="spellEnd"/>
      <w:r>
        <w:t>, кэш-память первого уровня (L1) - 32 КБ для каждого ядра, кэш-память второго уровня (L2) - 256 КБ для каждого ядра, кэш-память третьего уровня L3 - 4 МБ для всех ядер, встроенный графический контроллер.</w:t>
      </w:r>
      <w:proofErr w:type="gramEnd"/>
    </w:p>
    <w:p w:rsidR="00EB699E" w:rsidRDefault="00EB699E" w:rsidP="00EB699E">
      <w:pPr>
        <w:pStyle w:val="ConsPlusNormal"/>
        <w:ind w:firstLine="540"/>
        <w:jc w:val="both"/>
      </w:pPr>
      <w:r>
        <w:t xml:space="preserve">В указанном </w:t>
      </w:r>
      <w:proofErr w:type="gramStart"/>
      <w:r>
        <w:t>примере</w:t>
      </w:r>
      <w:proofErr w:type="gramEnd"/>
      <w:r>
        <w:t xml:space="preserve"> слова "или эквивалент" означают, что участник аукциона вправе предложить микропроцессор </w:t>
      </w:r>
      <w:proofErr w:type="spellStart"/>
      <w:r>
        <w:t>Intel</w:t>
      </w:r>
      <w:proofErr w:type="spellEnd"/>
      <w:r>
        <w:t xml:space="preserve"> с аналогичными или более высокими техническими характеристиками. Микропроцессоры AMD, как правило, не полностью соответствуют технологическим характеристикам микропроцессоров </w:t>
      </w:r>
      <w:proofErr w:type="spellStart"/>
      <w:r>
        <w:t>Intel</w:t>
      </w:r>
      <w:proofErr w:type="spellEnd"/>
      <w:r>
        <w:t xml:space="preserve">. Однако общий уровень производительности и стоимость сопоставимых предложений компании AMD обычно соответствуют стандартам, установленным для указанной продукции </w:t>
      </w:r>
      <w:proofErr w:type="spellStart"/>
      <w:r>
        <w:t>Intel</w:t>
      </w:r>
      <w:proofErr w:type="spellEnd"/>
      <w:r>
        <w:t>. Таким образом, указанная техническая спецификация подразумевает поставку персональных компьютеров, работающих на базе микропроцессоров, разработчиком которых является одна компания (</w:t>
      </w:r>
      <w:proofErr w:type="spellStart"/>
      <w:r>
        <w:t>Intel</w:t>
      </w:r>
      <w:proofErr w:type="spellEnd"/>
      <w:r>
        <w:t>). Микропроцессоры других разработчиков исключаются с помощью дискриминационных формулировок, описывающих параметры одного конкретного процессора.</w:t>
      </w:r>
    </w:p>
    <w:p w:rsidR="00EB699E" w:rsidRDefault="00EB699E" w:rsidP="00EB699E">
      <w:pPr>
        <w:pStyle w:val="ConsPlusNormal"/>
        <w:ind w:firstLine="540"/>
        <w:jc w:val="both"/>
      </w:pPr>
      <w:proofErr w:type="gramStart"/>
      <w:r>
        <w:t xml:space="preserve">Исключение микропроцессоров AMD из рассмотрения его в качестве товара, подлежащего к поставке, вследствие отсутствия аналогичных технических характеристик, нарушает </w:t>
      </w:r>
      <w:hyperlink r:id="rId16" w:history="1">
        <w:r>
          <w:rPr>
            <w:color w:val="0000FF"/>
          </w:rPr>
          <w:t>Закон N 135-ФЗ</w:t>
        </w:r>
      </w:hyperlink>
      <w:r>
        <w:t xml:space="preserve"> (запрещающий совершать в ходе торгов действия, которые ведут или могут привести к недопущению, ограничению или устранению конкуренции), что является </w:t>
      </w:r>
      <w:proofErr w:type="spellStart"/>
      <w:r>
        <w:t>контрпродуктивным</w:t>
      </w:r>
      <w:proofErr w:type="spellEnd"/>
      <w:r>
        <w:t xml:space="preserve"> действием в отношении поиска заказчиком наиболее выгодных и высокотехнологичных решений для закупки.</w:t>
      </w:r>
      <w:proofErr w:type="gramEnd"/>
    </w:p>
    <w:p w:rsidR="00EB699E" w:rsidRDefault="00EB699E" w:rsidP="00EB699E">
      <w:pPr>
        <w:pStyle w:val="ConsPlusNormal"/>
        <w:ind w:firstLine="540"/>
        <w:jc w:val="both"/>
      </w:pPr>
      <w:proofErr w:type="gramStart"/>
      <w:r>
        <w:t xml:space="preserve">Таким образом, установление в документации о торгах указанной технической спецификации является нарушением требований </w:t>
      </w:r>
      <w:hyperlink r:id="rId17" w:history="1">
        <w:r>
          <w:rPr>
            <w:color w:val="0000FF"/>
          </w:rPr>
          <w:t>части 3.1 статьи 34</w:t>
        </w:r>
      </w:hyperlink>
      <w:r>
        <w:t xml:space="preserve"> Закона N 94-ФЗ и </w:t>
      </w:r>
      <w:hyperlink r:id="rId18" w:history="1">
        <w:r>
          <w:rPr>
            <w:color w:val="0000FF"/>
          </w:rPr>
          <w:t>части 1 статьи 17</w:t>
        </w:r>
      </w:hyperlink>
      <w:r>
        <w:t xml:space="preserve"> Закона N 135-ФЗ, запрещающей совершать в ходе торгов действия, которые ведут или могут привести к ограничению или устранению конкуренции, что влечет выдачу заказчику предписания об устранении нарушений путем </w:t>
      </w:r>
      <w:r>
        <w:lastRenderedPageBreak/>
        <w:t>внесения изменений в документацию о торгах, а</w:t>
      </w:r>
      <w:proofErr w:type="gramEnd"/>
      <w:r>
        <w:t xml:space="preserve"> также привлечение виновных лиц к ответственности в соответствии с действующим законодательством.</w:t>
      </w:r>
    </w:p>
    <w:p w:rsidR="00EB699E" w:rsidRDefault="00EB699E" w:rsidP="00EB699E">
      <w:pPr>
        <w:pStyle w:val="ConsPlusNormal"/>
        <w:ind w:firstLine="540"/>
        <w:jc w:val="both"/>
      </w:pPr>
      <w:proofErr w:type="spellStart"/>
      <w:r>
        <w:t>ii</w:t>
      </w:r>
      <w:proofErr w:type="spellEnd"/>
      <w:r>
        <w:t>. Включение в техническую спецификацию определенных технических требований для микропроцессоров без упоминания товарного знака, с сопровождением словами "или эквивалент"</w:t>
      </w:r>
    </w:p>
    <w:p w:rsidR="00EB699E" w:rsidRDefault="00EB699E" w:rsidP="00EB699E">
      <w:pPr>
        <w:pStyle w:val="ConsPlusNormal"/>
        <w:ind w:firstLine="540"/>
        <w:jc w:val="both"/>
      </w:pPr>
      <w:r>
        <w:t xml:space="preserve">Пример спецификации: </w:t>
      </w:r>
      <w:proofErr w:type="spellStart"/>
      <w:r>
        <w:t>Двухъядерный</w:t>
      </w:r>
      <w:proofErr w:type="spellEnd"/>
      <w:r>
        <w:t xml:space="preserve"> процессор с разъемом </w:t>
      </w:r>
      <w:proofErr w:type="spellStart"/>
      <w:r>
        <w:t>Сокет</w:t>
      </w:r>
      <w:proofErr w:type="spellEnd"/>
      <w:r>
        <w:t xml:space="preserve"> 775 (</w:t>
      </w:r>
      <w:proofErr w:type="spellStart"/>
      <w:r>
        <w:t>Socket</w:t>
      </w:r>
      <w:proofErr w:type="spellEnd"/>
      <w:r>
        <w:t xml:space="preserve"> 775) или эквивалент</w:t>
      </w:r>
    </w:p>
    <w:p w:rsidR="00EB699E" w:rsidRDefault="00EB699E" w:rsidP="00EB699E">
      <w:pPr>
        <w:pStyle w:val="ConsPlusNormal"/>
        <w:ind w:firstLine="540"/>
        <w:jc w:val="both"/>
      </w:pPr>
      <w:r>
        <w:t xml:space="preserve">Микропроцессоры с разъемом </w:t>
      </w:r>
      <w:proofErr w:type="spellStart"/>
      <w:r>
        <w:t>Socket</w:t>
      </w:r>
      <w:proofErr w:type="spellEnd"/>
      <w:r>
        <w:t xml:space="preserve"> 775 производит исключительно компания </w:t>
      </w:r>
      <w:proofErr w:type="spellStart"/>
      <w:r>
        <w:t>Intel</w:t>
      </w:r>
      <w:proofErr w:type="spellEnd"/>
      <w:r>
        <w:t xml:space="preserve">. Для того чтобы считаться эквивалентом, процессоры AMD (либо любого другого разработчика) должны иметь такие же разъемы и типы </w:t>
      </w:r>
      <w:proofErr w:type="spellStart"/>
      <w:r>
        <w:t>чипсетов</w:t>
      </w:r>
      <w:proofErr w:type="spellEnd"/>
      <w:r>
        <w:t>. Однако ни один процессор, разработанный AMD (либо любым другим разработчиком), не может отвечать данным требованиям, хотя и существуют процессоры AMD, которые обеспечивают аналогичные и даже лучшие функциональные качества, нежели изначально запрашиваемые в аукционной документации.</w:t>
      </w:r>
    </w:p>
    <w:p w:rsidR="00EB699E" w:rsidRDefault="00EB699E" w:rsidP="00EB699E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EB699E" w:rsidRDefault="00EB699E" w:rsidP="00EB699E">
      <w:pPr>
        <w:pStyle w:val="ConsPlusNormal"/>
        <w:ind w:firstLine="540"/>
        <w:jc w:val="both"/>
      </w:pPr>
      <w:proofErr w:type="spellStart"/>
      <w:r>
        <w:t>КонсультантПлюс</w:t>
      </w:r>
      <w:proofErr w:type="spellEnd"/>
      <w:r>
        <w:t>: примечание.</w:t>
      </w:r>
    </w:p>
    <w:p w:rsidR="00EB699E" w:rsidRDefault="00EB699E" w:rsidP="00EB699E">
      <w:pPr>
        <w:pStyle w:val="ConsPlusNormal"/>
        <w:ind w:firstLine="540"/>
        <w:jc w:val="both"/>
      </w:pPr>
      <w:r>
        <w:t>Приложение N 1 не приводится.</w:t>
      </w:r>
    </w:p>
    <w:p w:rsidR="00EB699E" w:rsidRDefault="00EB699E" w:rsidP="00EB699E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EB699E" w:rsidRDefault="00EB699E" w:rsidP="00EB699E">
      <w:pPr>
        <w:pStyle w:val="ConsPlusNormal"/>
        <w:ind w:firstLine="540"/>
        <w:jc w:val="both"/>
      </w:pPr>
      <w:r>
        <w:t xml:space="preserve">Более того в ответ на запрос ФАС России Всероссийский научно-исследовательский институт проблем вычислительной техники и информации подготовил экспертное заключение, подтверждающее, что разъем центрального процессора </w:t>
      </w:r>
      <w:proofErr w:type="spellStart"/>
      <w:r>
        <w:t>Socket</w:t>
      </w:r>
      <w:proofErr w:type="spellEnd"/>
      <w:r>
        <w:t xml:space="preserve"> 775, разработанный </w:t>
      </w:r>
      <w:proofErr w:type="spellStart"/>
      <w:r>
        <w:t>Intel</w:t>
      </w:r>
      <w:proofErr w:type="spellEnd"/>
      <w:r>
        <w:t>, не совместим с процессорами других разработчиков (</w:t>
      </w:r>
      <w:proofErr w:type="gramStart"/>
      <w:r>
        <w:t>см</w:t>
      </w:r>
      <w:proofErr w:type="gramEnd"/>
      <w:r>
        <w:t>. приложение N 1).</w:t>
      </w:r>
    </w:p>
    <w:p w:rsidR="00EB699E" w:rsidRDefault="00EB699E" w:rsidP="00EB699E">
      <w:pPr>
        <w:pStyle w:val="ConsPlusNormal"/>
        <w:ind w:firstLine="540"/>
        <w:jc w:val="both"/>
      </w:pPr>
      <w:r>
        <w:t xml:space="preserve">Так как невозможно поставить процессор AMD, совместимый с разъемом </w:t>
      </w:r>
      <w:proofErr w:type="spellStart"/>
      <w:r>
        <w:t>Socket</w:t>
      </w:r>
      <w:proofErr w:type="spellEnd"/>
      <w:r>
        <w:t xml:space="preserve"> 775, указанная техническая спецификация заведомо включает в себя требование к поставке компьютеров на базе процессоров только одного разработчика (</w:t>
      </w:r>
      <w:proofErr w:type="spellStart"/>
      <w:r>
        <w:t>Intel</w:t>
      </w:r>
      <w:proofErr w:type="spellEnd"/>
      <w:r>
        <w:t>).</w:t>
      </w:r>
    </w:p>
    <w:p w:rsidR="00EB699E" w:rsidRDefault="00EB699E" w:rsidP="00EB699E">
      <w:pPr>
        <w:pStyle w:val="ConsPlusNormal"/>
        <w:ind w:firstLine="540"/>
        <w:jc w:val="both"/>
      </w:pPr>
      <w:r>
        <w:t xml:space="preserve">Таким образом, данная спецификация нарушает </w:t>
      </w:r>
      <w:hyperlink r:id="rId19" w:history="1">
        <w:r>
          <w:rPr>
            <w:color w:val="0000FF"/>
          </w:rPr>
          <w:t>часть 3 статьи 34</w:t>
        </w:r>
      </w:hyperlink>
      <w:r>
        <w:t xml:space="preserve"> Закона N 94-ФЗ &lt;*&gt;, поскольку технические требования не включают слова "или эквивалент", благоприятствуя одному из разработчиков микропроцессоров. Данная спецификация также нарушает требования </w:t>
      </w:r>
      <w:hyperlink r:id="rId20" w:history="1">
        <w:r>
          <w:rPr>
            <w:color w:val="0000FF"/>
          </w:rPr>
          <w:t>Закона N 135-ФЗ</w:t>
        </w:r>
      </w:hyperlink>
      <w:r>
        <w:t xml:space="preserve"> в отношен</w:t>
      </w:r>
      <w:proofErr w:type="gramStart"/>
      <w:r>
        <w:t>ии ау</w:t>
      </w:r>
      <w:proofErr w:type="gramEnd"/>
      <w:r>
        <w:t xml:space="preserve">кциона, которые установлены </w:t>
      </w:r>
      <w:hyperlink r:id="rId21" w:history="1">
        <w:r>
          <w:rPr>
            <w:color w:val="0000FF"/>
          </w:rPr>
          <w:t>частью 1 статьи 17</w:t>
        </w:r>
      </w:hyperlink>
      <w:r>
        <w:t xml:space="preserve"> Закона N 135-ФЗ (запрещает совершать в ходе торгов действия, которые ведут или могут привести к ограничению или устранению конкуренции). Следовательно, установление данной и схожей с ней спецификации нарушает антимонопольное законодательства и законодательство о размещении заказов и влечет выдачу заказчику предписания об устранении нарушений путем внесения изменений в документацию о торгах, а также привлечение виновных лиц к ответственности в соответствии с действующим законодательством.</w:t>
      </w:r>
    </w:p>
    <w:p w:rsidR="00EB699E" w:rsidRDefault="00EB699E" w:rsidP="00EB699E">
      <w:pPr>
        <w:pStyle w:val="ConsPlusNormal"/>
        <w:ind w:firstLine="540"/>
        <w:jc w:val="both"/>
      </w:pPr>
      <w:r>
        <w:t>--------------------------------</w:t>
      </w:r>
    </w:p>
    <w:p w:rsidR="00EB699E" w:rsidRDefault="00EB699E" w:rsidP="00EB699E">
      <w:pPr>
        <w:pStyle w:val="ConsPlusNormal"/>
        <w:ind w:firstLine="540"/>
        <w:jc w:val="both"/>
      </w:pPr>
      <w:r>
        <w:t xml:space="preserve">&lt;*&gt; В </w:t>
      </w:r>
      <w:proofErr w:type="gramStart"/>
      <w:r>
        <w:t>соответствии</w:t>
      </w:r>
      <w:proofErr w:type="gramEnd"/>
      <w:r>
        <w:t xml:space="preserve"> с </w:t>
      </w:r>
      <w:hyperlink r:id="rId22" w:history="1">
        <w:r>
          <w:rPr>
            <w:color w:val="0000FF"/>
          </w:rPr>
          <w:t>частью 3 статьи 34</w:t>
        </w:r>
      </w:hyperlink>
      <w:r>
        <w:t xml:space="preserve"> Закона N 94-ФЗ, если размещение заказов имеет форму аукциона, документация об аукционе может содержать указание на товарный знак, которые должны сопровождаться словами "или эквивалент".</w:t>
      </w:r>
    </w:p>
    <w:p w:rsidR="00EB699E" w:rsidRDefault="00EB699E" w:rsidP="00EB699E">
      <w:pPr>
        <w:pStyle w:val="ConsPlusNormal"/>
        <w:ind w:firstLine="540"/>
        <w:jc w:val="both"/>
      </w:pPr>
    </w:p>
    <w:p w:rsidR="00EB699E" w:rsidRDefault="00EB699E" w:rsidP="00EB699E">
      <w:pPr>
        <w:pStyle w:val="ConsPlusNormal"/>
        <w:jc w:val="center"/>
        <w:outlineLvl w:val="0"/>
      </w:pPr>
      <w:r>
        <w:t>5. Заключение</w:t>
      </w:r>
    </w:p>
    <w:p w:rsidR="00EB699E" w:rsidRDefault="00EB699E" w:rsidP="00EB699E">
      <w:pPr>
        <w:pStyle w:val="ConsPlusNormal"/>
        <w:jc w:val="center"/>
      </w:pPr>
    </w:p>
    <w:p w:rsidR="00EB699E" w:rsidRDefault="00EB699E" w:rsidP="00EB699E">
      <w:pPr>
        <w:pStyle w:val="ConsPlusNormal"/>
        <w:ind w:firstLine="540"/>
        <w:jc w:val="both"/>
      </w:pPr>
      <w:r>
        <w:t>Описанные выше примеры наглядно показывают, как при определенном использовании наименований товарных знаков, слов "или эквивалент" без указания параметров эквивалентности, а также при использовании технических особенностей для описания минимального уровня производительности могут быть нарушены нормы российского законодательства.</w:t>
      </w:r>
    </w:p>
    <w:p w:rsidR="00EB699E" w:rsidRDefault="00EB699E" w:rsidP="00EB699E">
      <w:pPr>
        <w:pStyle w:val="ConsPlusNormal"/>
        <w:ind w:firstLine="540"/>
        <w:jc w:val="both"/>
      </w:pPr>
      <w:r>
        <w:t xml:space="preserve">Каждый из приведенных выше примеров противоречит положениям законодательства Российской Федерации о размещении заказов и антимонопольным требованиям, предусмотренным </w:t>
      </w:r>
      <w:hyperlink r:id="rId23" w:history="1">
        <w:r>
          <w:rPr>
            <w:color w:val="0000FF"/>
          </w:rPr>
          <w:t>частью 1 статьи 17</w:t>
        </w:r>
      </w:hyperlink>
      <w:r>
        <w:t xml:space="preserve"> Закона N 135-ФЗ, запрещающим совершать в ходе торгов действия, которые ведут или могут привести к ограничению или устранению конкуренции. Во всех приведенных примерах конкуренция между AMD, </w:t>
      </w:r>
      <w:proofErr w:type="spellStart"/>
      <w:r>
        <w:t>Intel</w:t>
      </w:r>
      <w:proofErr w:type="spellEnd"/>
      <w:r>
        <w:t xml:space="preserve"> или другими разработчиками микропроцессоров была устранена при помощи использования спецификаций, которые были направлены на устранение возможности выбора микропроцессоров, производимых/разработанных различными компаниями.</w:t>
      </w:r>
    </w:p>
    <w:p w:rsidR="00EB699E" w:rsidRDefault="00EB699E" w:rsidP="00EB699E">
      <w:pPr>
        <w:pStyle w:val="ConsPlusNormal"/>
        <w:ind w:firstLine="540"/>
        <w:jc w:val="both"/>
      </w:pPr>
    </w:p>
    <w:p w:rsidR="00EB699E" w:rsidRDefault="00EB699E" w:rsidP="00EB699E">
      <w:pPr>
        <w:pStyle w:val="ConsPlusNormal"/>
        <w:ind w:firstLine="540"/>
        <w:jc w:val="both"/>
      </w:pPr>
    </w:p>
    <w:p w:rsidR="00EB699E" w:rsidRDefault="00EB699E" w:rsidP="00EB699E">
      <w:pPr>
        <w:pStyle w:val="ConsPlusNormal"/>
        <w:pBdr>
          <w:bottom w:val="single" w:sz="6" w:space="0" w:color="auto"/>
        </w:pBdr>
        <w:rPr>
          <w:sz w:val="5"/>
          <w:szCs w:val="5"/>
        </w:rPr>
      </w:pPr>
    </w:p>
    <w:p w:rsidR="00C43038" w:rsidRDefault="00C43038"/>
    <w:sectPr w:rsidR="00C43038" w:rsidSect="0049672B">
      <w:pgSz w:w="11906" w:h="16838"/>
      <w:pgMar w:top="1440" w:right="566" w:bottom="1440" w:left="1133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EB699E"/>
    <w:rsid w:val="0000109A"/>
    <w:rsid w:val="00004DD7"/>
    <w:rsid w:val="00006695"/>
    <w:rsid w:val="000140C1"/>
    <w:rsid w:val="0001697B"/>
    <w:rsid w:val="00017BFA"/>
    <w:rsid w:val="000267B6"/>
    <w:rsid w:val="000339A8"/>
    <w:rsid w:val="00033C0B"/>
    <w:rsid w:val="00035D21"/>
    <w:rsid w:val="00037B56"/>
    <w:rsid w:val="000402DC"/>
    <w:rsid w:val="000432E6"/>
    <w:rsid w:val="0005074B"/>
    <w:rsid w:val="00057556"/>
    <w:rsid w:val="000610DA"/>
    <w:rsid w:val="000619B5"/>
    <w:rsid w:val="00065C53"/>
    <w:rsid w:val="00065E59"/>
    <w:rsid w:val="00081A5A"/>
    <w:rsid w:val="00081D59"/>
    <w:rsid w:val="0008253D"/>
    <w:rsid w:val="000838C1"/>
    <w:rsid w:val="00084EFB"/>
    <w:rsid w:val="00095F1B"/>
    <w:rsid w:val="000A1339"/>
    <w:rsid w:val="000A1E8D"/>
    <w:rsid w:val="000A2F5B"/>
    <w:rsid w:val="000A629B"/>
    <w:rsid w:val="000B0CE7"/>
    <w:rsid w:val="000B3985"/>
    <w:rsid w:val="000B4126"/>
    <w:rsid w:val="000B7891"/>
    <w:rsid w:val="000C0ED4"/>
    <w:rsid w:val="000C1806"/>
    <w:rsid w:val="000C36C9"/>
    <w:rsid w:val="000C5A4B"/>
    <w:rsid w:val="000D54F2"/>
    <w:rsid w:val="000D7D67"/>
    <w:rsid w:val="000E3299"/>
    <w:rsid w:val="000E6A20"/>
    <w:rsid w:val="000E7773"/>
    <w:rsid w:val="000F0D5B"/>
    <w:rsid w:val="000F14D1"/>
    <w:rsid w:val="00101319"/>
    <w:rsid w:val="00101C8A"/>
    <w:rsid w:val="0010716B"/>
    <w:rsid w:val="00115069"/>
    <w:rsid w:val="00124FC1"/>
    <w:rsid w:val="00130DA0"/>
    <w:rsid w:val="001311AB"/>
    <w:rsid w:val="00132766"/>
    <w:rsid w:val="00136BA7"/>
    <w:rsid w:val="001372CD"/>
    <w:rsid w:val="00143E7B"/>
    <w:rsid w:val="00145024"/>
    <w:rsid w:val="0015445D"/>
    <w:rsid w:val="00154D34"/>
    <w:rsid w:val="0015545F"/>
    <w:rsid w:val="00165780"/>
    <w:rsid w:val="0016684C"/>
    <w:rsid w:val="001678CF"/>
    <w:rsid w:val="00173619"/>
    <w:rsid w:val="001736AB"/>
    <w:rsid w:val="001814D5"/>
    <w:rsid w:val="00182DD0"/>
    <w:rsid w:val="00185D37"/>
    <w:rsid w:val="00191BFF"/>
    <w:rsid w:val="001A4DAF"/>
    <w:rsid w:val="001A5413"/>
    <w:rsid w:val="001A5B8C"/>
    <w:rsid w:val="001B3B76"/>
    <w:rsid w:val="001C548D"/>
    <w:rsid w:val="001C62F5"/>
    <w:rsid w:val="001C7289"/>
    <w:rsid w:val="001D2170"/>
    <w:rsid w:val="001D3B15"/>
    <w:rsid w:val="001D6444"/>
    <w:rsid w:val="001E0B74"/>
    <w:rsid w:val="001E1BA0"/>
    <w:rsid w:val="001E3E68"/>
    <w:rsid w:val="001E4A1F"/>
    <w:rsid w:val="001F259C"/>
    <w:rsid w:val="001F3D3C"/>
    <w:rsid w:val="00203F47"/>
    <w:rsid w:val="0021194F"/>
    <w:rsid w:val="00211C1C"/>
    <w:rsid w:val="00211E7E"/>
    <w:rsid w:val="00211EBA"/>
    <w:rsid w:val="00214A81"/>
    <w:rsid w:val="00215EE3"/>
    <w:rsid w:val="002179A9"/>
    <w:rsid w:val="00217AC7"/>
    <w:rsid w:val="00224AF7"/>
    <w:rsid w:val="00227910"/>
    <w:rsid w:val="00230D93"/>
    <w:rsid w:val="002331E8"/>
    <w:rsid w:val="002333F4"/>
    <w:rsid w:val="0023351F"/>
    <w:rsid w:val="00234E40"/>
    <w:rsid w:val="00235917"/>
    <w:rsid w:val="00237E31"/>
    <w:rsid w:val="002406C2"/>
    <w:rsid w:val="00242291"/>
    <w:rsid w:val="00242655"/>
    <w:rsid w:val="0024351F"/>
    <w:rsid w:val="00244F11"/>
    <w:rsid w:val="00254127"/>
    <w:rsid w:val="002612AD"/>
    <w:rsid w:val="002644EF"/>
    <w:rsid w:val="002727DA"/>
    <w:rsid w:val="00274BFB"/>
    <w:rsid w:val="00281C09"/>
    <w:rsid w:val="002908FC"/>
    <w:rsid w:val="00292B49"/>
    <w:rsid w:val="00295473"/>
    <w:rsid w:val="00295E52"/>
    <w:rsid w:val="002A2A93"/>
    <w:rsid w:val="002A413A"/>
    <w:rsid w:val="002B308E"/>
    <w:rsid w:val="002B4420"/>
    <w:rsid w:val="002B63B6"/>
    <w:rsid w:val="002B6683"/>
    <w:rsid w:val="002B7B8E"/>
    <w:rsid w:val="002C1439"/>
    <w:rsid w:val="002C350C"/>
    <w:rsid w:val="002D60EE"/>
    <w:rsid w:val="002E06C8"/>
    <w:rsid w:val="002E20FA"/>
    <w:rsid w:val="002E6179"/>
    <w:rsid w:val="002F1D59"/>
    <w:rsid w:val="002F3451"/>
    <w:rsid w:val="002F4CB8"/>
    <w:rsid w:val="002F4ED8"/>
    <w:rsid w:val="00304CA6"/>
    <w:rsid w:val="00305B09"/>
    <w:rsid w:val="0030739F"/>
    <w:rsid w:val="00314018"/>
    <w:rsid w:val="00317653"/>
    <w:rsid w:val="00320E33"/>
    <w:rsid w:val="0032118E"/>
    <w:rsid w:val="00325243"/>
    <w:rsid w:val="00327DEB"/>
    <w:rsid w:val="00331290"/>
    <w:rsid w:val="003329BF"/>
    <w:rsid w:val="00340BCE"/>
    <w:rsid w:val="0034459A"/>
    <w:rsid w:val="0034600D"/>
    <w:rsid w:val="003475EE"/>
    <w:rsid w:val="003509AB"/>
    <w:rsid w:val="00361E04"/>
    <w:rsid w:val="00367526"/>
    <w:rsid w:val="003725C5"/>
    <w:rsid w:val="0039273A"/>
    <w:rsid w:val="003A523E"/>
    <w:rsid w:val="003A5864"/>
    <w:rsid w:val="003A5E1E"/>
    <w:rsid w:val="003A7555"/>
    <w:rsid w:val="003B0FEB"/>
    <w:rsid w:val="003B2A19"/>
    <w:rsid w:val="003B3DB3"/>
    <w:rsid w:val="003C628A"/>
    <w:rsid w:val="003E225B"/>
    <w:rsid w:val="003E250D"/>
    <w:rsid w:val="003E7692"/>
    <w:rsid w:val="003F07F4"/>
    <w:rsid w:val="003F4A2C"/>
    <w:rsid w:val="00401DCB"/>
    <w:rsid w:val="00402C36"/>
    <w:rsid w:val="00402CE9"/>
    <w:rsid w:val="0040532B"/>
    <w:rsid w:val="0041056E"/>
    <w:rsid w:val="0041335A"/>
    <w:rsid w:val="0041544B"/>
    <w:rsid w:val="00420463"/>
    <w:rsid w:val="004241D4"/>
    <w:rsid w:val="00431863"/>
    <w:rsid w:val="00432233"/>
    <w:rsid w:val="00441133"/>
    <w:rsid w:val="0044437E"/>
    <w:rsid w:val="004458EB"/>
    <w:rsid w:val="00446095"/>
    <w:rsid w:val="0044770E"/>
    <w:rsid w:val="00466738"/>
    <w:rsid w:val="00467061"/>
    <w:rsid w:val="004713A1"/>
    <w:rsid w:val="004718AF"/>
    <w:rsid w:val="00471DB4"/>
    <w:rsid w:val="0047214E"/>
    <w:rsid w:val="0047754C"/>
    <w:rsid w:val="00482087"/>
    <w:rsid w:val="00482316"/>
    <w:rsid w:val="004873F8"/>
    <w:rsid w:val="004915D3"/>
    <w:rsid w:val="00492559"/>
    <w:rsid w:val="00492D97"/>
    <w:rsid w:val="00492FD5"/>
    <w:rsid w:val="004945D8"/>
    <w:rsid w:val="004957BC"/>
    <w:rsid w:val="004A1A2D"/>
    <w:rsid w:val="004A4CF8"/>
    <w:rsid w:val="004B5B01"/>
    <w:rsid w:val="004B6C2C"/>
    <w:rsid w:val="004B74D3"/>
    <w:rsid w:val="004C119F"/>
    <w:rsid w:val="004C7632"/>
    <w:rsid w:val="004D1C88"/>
    <w:rsid w:val="004D23E3"/>
    <w:rsid w:val="004D347F"/>
    <w:rsid w:val="004D362D"/>
    <w:rsid w:val="004D638A"/>
    <w:rsid w:val="004D785F"/>
    <w:rsid w:val="004E304D"/>
    <w:rsid w:val="004F2233"/>
    <w:rsid w:val="004F4377"/>
    <w:rsid w:val="00505C7A"/>
    <w:rsid w:val="00511D76"/>
    <w:rsid w:val="00514B6C"/>
    <w:rsid w:val="0051660B"/>
    <w:rsid w:val="005203F7"/>
    <w:rsid w:val="00524AB8"/>
    <w:rsid w:val="00526583"/>
    <w:rsid w:val="00526CC8"/>
    <w:rsid w:val="00536273"/>
    <w:rsid w:val="00543BE6"/>
    <w:rsid w:val="00547F7E"/>
    <w:rsid w:val="00565A66"/>
    <w:rsid w:val="00566266"/>
    <w:rsid w:val="00572666"/>
    <w:rsid w:val="00572D2F"/>
    <w:rsid w:val="005801A7"/>
    <w:rsid w:val="00580211"/>
    <w:rsid w:val="00581D42"/>
    <w:rsid w:val="00586276"/>
    <w:rsid w:val="005902F3"/>
    <w:rsid w:val="005919EC"/>
    <w:rsid w:val="00594FC4"/>
    <w:rsid w:val="0059764C"/>
    <w:rsid w:val="005A00F2"/>
    <w:rsid w:val="005A0411"/>
    <w:rsid w:val="005A0717"/>
    <w:rsid w:val="005A53BE"/>
    <w:rsid w:val="005B0F84"/>
    <w:rsid w:val="005B1904"/>
    <w:rsid w:val="005B1A5C"/>
    <w:rsid w:val="005B1F97"/>
    <w:rsid w:val="005B64E9"/>
    <w:rsid w:val="005C0345"/>
    <w:rsid w:val="005E6D6F"/>
    <w:rsid w:val="005F1DD2"/>
    <w:rsid w:val="005F3C35"/>
    <w:rsid w:val="005F4A38"/>
    <w:rsid w:val="00602982"/>
    <w:rsid w:val="00604C11"/>
    <w:rsid w:val="00607A03"/>
    <w:rsid w:val="00612EC6"/>
    <w:rsid w:val="00620E90"/>
    <w:rsid w:val="00622E7E"/>
    <w:rsid w:val="0062439A"/>
    <w:rsid w:val="0062488C"/>
    <w:rsid w:val="006303A6"/>
    <w:rsid w:val="00631038"/>
    <w:rsid w:val="0063169C"/>
    <w:rsid w:val="00631C19"/>
    <w:rsid w:val="00634919"/>
    <w:rsid w:val="00636445"/>
    <w:rsid w:val="006409D3"/>
    <w:rsid w:val="00652EA9"/>
    <w:rsid w:val="00653226"/>
    <w:rsid w:val="0065371E"/>
    <w:rsid w:val="006543E5"/>
    <w:rsid w:val="00654E35"/>
    <w:rsid w:val="00657F2C"/>
    <w:rsid w:val="00662B74"/>
    <w:rsid w:val="00662CCC"/>
    <w:rsid w:val="0066590F"/>
    <w:rsid w:val="00666891"/>
    <w:rsid w:val="00696DBF"/>
    <w:rsid w:val="00697225"/>
    <w:rsid w:val="006975EB"/>
    <w:rsid w:val="00697C42"/>
    <w:rsid w:val="00697F7F"/>
    <w:rsid w:val="006A04E1"/>
    <w:rsid w:val="006A251E"/>
    <w:rsid w:val="006A605C"/>
    <w:rsid w:val="006B1C34"/>
    <w:rsid w:val="006B590A"/>
    <w:rsid w:val="006B676B"/>
    <w:rsid w:val="006C7DD1"/>
    <w:rsid w:val="006D145D"/>
    <w:rsid w:val="006D2410"/>
    <w:rsid w:val="006E1320"/>
    <w:rsid w:val="006E5F5C"/>
    <w:rsid w:val="006F2BF6"/>
    <w:rsid w:val="0070030D"/>
    <w:rsid w:val="00700F86"/>
    <w:rsid w:val="00703282"/>
    <w:rsid w:val="0070649E"/>
    <w:rsid w:val="007161E3"/>
    <w:rsid w:val="007220B9"/>
    <w:rsid w:val="00723235"/>
    <w:rsid w:val="007270FA"/>
    <w:rsid w:val="00735215"/>
    <w:rsid w:val="007353A4"/>
    <w:rsid w:val="00740FA9"/>
    <w:rsid w:val="00746251"/>
    <w:rsid w:val="00747F17"/>
    <w:rsid w:val="00750432"/>
    <w:rsid w:val="00750F5D"/>
    <w:rsid w:val="00762078"/>
    <w:rsid w:val="007653F3"/>
    <w:rsid w:val="00770401"/>
    <w:rsid w:val="00772C6A"/>
    <w:rsid w:val="00781A04"/>
    <w:rsid w:val="00783C0E"/>
    <w:rsid w:val="00784BED"/>
    <w:rsid w:val="00784CD2"/>
    <w:rsid w:val="007949A5"/>
    <w:rsid w:val="007956CA"/>
    <w:rsid w:val="007A3E78"/>
    <w:rsid w:val="007A73DE"/>
    <w:rsid w:val="007A789B"/>
    <w:rsid w:val="007B09A3"/>
    <w:rsid w:val="007B1BC5"/>
    <w:rsid w:val="007B2891"/>
    <w:rsid w:val="007C1DE8"/>
    <w:rsid w:val="007C3F91"/>
    <w:rsid w:val="007C5E78"/>
    <w:rsid w:val="007D4D6C"/>
    <w:rsid w:val="007E587D"/>
    <w:rsid w:val="007E7907"/>
    <w:rsid w:val="007F13BD"/>
    <w:rsid w:val="007F21F4"/>
    <w:rsid w:val="007F3500"/>
    <w:rsid w:val="00803470"/>
    <w:rsid w:val="008037BB"/>
    <w:rsid w:val="00806239"/>
    <w:rsid w:val="00807E87"/>
    <w:rsid w:val="00810655"/>
    <w:rsid w:val="00811AEF"/>
    <w:rsid w:val="00813A8F"/>
    <w:rsid w:val="0081718C"/>
    <w:rsid w:val="00824B18"/>
    <w:rsid w:val="00826226"/>
    <w:rsid w:val="00827E58"/>
    <w:rsid w:val="00846336"/>
    <w:rsid w:val="00855F40"/>
    <w:rsid w:val="008576A5"/>
    <w:rsid w:val="00863916"/>
    <w:rsid w:val="00866A95"/>
    <w:rsid w:val="00873C20"/>
    <w:rsid w:val="00875AE9"/>
    <w:rsid w:val="00876F0C"/>
    <w:rsid w:val="00877F46"/>
    <w:rsid w:val="00882B38"/>
    <w:rsid w:val="00886698"/>
    <w:rsid w:val="008872C1"/>
    <w:rsid w:val="00887FBB"/>
    <w:rsid w:val="008917F9"/>
    <w:rsid w:val="00891A49"/>
    <w:rsid w:val="00895007"/>
    <w:rsid w:val="0089634F"/>
    <w:rsid w:val="0089773F"/>
    <w:rsid w:val="008A1E90"/>
    <w:rsid w:val="008A5C32"/>
    <w:rsid w:val="008B07FC"/>
    <w:rsid w:val="008B0D77"/>
    <w:rsid w:val="008B1346"/>
    <w:rsid w:val="008B4588"/>
    <w:rsid w:val="008C7D22"/>
    <w:rsid w:val="008D0CF2"/>
    <w:rsid w:val="008D4059"/>
    <w:rsid w:val="008D6F4B"/>
    <w:rsid w:val="008E69F0"/>
    <w:rsid w:val="008E77EB"/>
    <w:rsid w:val="008F184E"/>
    <w:rsid w:val="008F188D"/>
    <w:rsid w:val="0090017F"/>
    <w:rsid w:val="00905548"/>
    <w:rsid w:val="009072DB"/>
    <w:rsid w:val="00913E5D"/>
    <w:rsid w:val="00914448"/>
    <w:rsid w:val="00915E06"/>
    <w:rsid w:val="00916D75"/>
    <w:rsid w:val="00921911"/>
    <w:rsid w:val="00924E72"/>
    <w:rsid w:val="00925DBE"/>
    <w:rsid w:val="009273A8"/>
    <w:rsid w:val="00931D63"/>
    <w:rsid w:val="009349AE"/>
    <w:rsid w:val="00941A03"/>
    <w:rsid w:val="00941D32"/>
    <w:rsid w:val="009427F7"/>
    <w:rsid w:val="00942A0D"/>
    <w:rsid w:val="00942BAC"/>
    <w:rsid w:val="00943461"/>
    <w:rsid w:val="00944175"/>
    <w:rsid w:val="0095157D"/>
    <w:rsid w:val="009526E4"/>
    <w:rsid w:val="00957831"/>
    <w:rsid w:val="00967C71"/>
    <w:rsid w:val="00972164"/>
    <w:rsid w:val="00974124"/>
    <w:rsid w:val="00974BB6"/>
    <w:rsid w:val="009755EF"/>
    <w:rsid w:val="009762EA"/>
    <w:rsid w:val="00982683"/>
    <w:rsid w:val="00990157"/>
    <w:rsid w:val="00990C50"/>
    <w:rsid w:val="009931FC"/>
    <w:rsid w:val="00993426"/>
    <w:rsid w:val="00997946"/>
    <w:rsid w:val="009A017D"/>
    <w:rsid w:val="009A1255"/>
    <w:rsid w:val="009A3DE5"/>
    <w:rsid w:val="009B38F1"/>
    <w:rsid w:val="009B427C"/>
    <w:rsid w:val="009B4A31"/>
    <w:rsid w:val="009B79F6"/>
    <w:rsid w:val="009C0D9E"/>
    <w:rsid w:val="009C3AEF"/>
    <w:rsid w:val="009C6299"/>
    <w:rsid w:val="009C798B"/>
    <w:rsid w:val="009D1589"/>
    <w:rsid w:val="009D4796"/>
    <w:rsid w:val="009F6DFF"/>
    <w:rsid w:val="00A00F43"/>
    <w:rsid w:val="00A046BD"/>
    <w:rsid w:val="00A14274"/>
    <w:rsid w:val="00A1685D"/>
    <w:rsid w:val="00A26247"/>
    <w:rsid w:val="00A35C01"/>
    <w:rsid w:val="00A36330"/>
    <w:rsid w:val="00A37BDC"/>
    <w:rsid w:val="00A40104"/>
    <w:rsid w:val="00A40633"/>
    <w:rsid w:val="00A43D8C"/>
    <w:rsid w:val="00A43DFA"/>
    <w:rsid w:val="00A501FD"/>
    <w:rsid w:val="00A51476"/>
    <w:rsid w:val="00A560CA"/>
    <w:rsid w:val="00A5678E"/>
    <w:rsid w:val="00A65B8A"/>
    <w:rsid w:val="00A65FBC"/>
    <w:rsid w:val="00A662EF"/>
    <w:rsid w:val="00A76004"/>
    <w:rsid w:val="00A81191"/>
    <w:rsid w:val="00A8726E"/>
    <w:rsid w:val="00A91B89"/>
    <w:rsid w:val="00A92FE7"/>
    <w:rsid w:val="00A956AE"/>
    <w:rsid w:val="00A95806"/>
    <w:rsid w:val="00A95C24"/>
    <w:rsid w:val="00AA036C"/>
    <w:rsid w:val="00AA2D33"/>
    <w:rsid w:val="00AA535F"/>
    <w:rsid w:val="00AB0262"/>
    <w:rsid w:val="00AB06DF"/>
    <w:rsid w:val="00AB1373"/>
    <w:rsid w:val="00AB1F41"/>
    <w:rsid w:val="00AB34A9"/>
    <w:rsid w:val="00AB5E4B"/>
    <w:rsid w:val="00AB6911"/>
    <w:rsid w:val="00AB7582"/>
    <w:rsid w:val="00AC0CFE"/>
    <w:rsid w:val="00AC12B1"/>
    <w:rsid w:val="00AC4F69"/>
    <w:rsid w:val="00AC6E4C"/>
    <w:rsid w:val="00AD00CC"/>
    <w:rsid w:val="00AE60AF"/>
    <w:rsid w:val="00AE63CD"/>
    <w:rsid w:val="00AE6CC1"/>
    <w:rsid w:val="00AF1346"/>
    <w:rsid w:val="00AF16E1"/>
    <w:rsid w:val="00AF171C"/>
    <w:rsid w:val="00AF1C6E"/>
    <w:rsid w:val="00AF266E"/>
    <w:rsid w:val="00AF3A3A"/>
    <w:rsid w:val="00AF4B53"/>
    <w:rsid w:val="00AF4DE4"/>
    <w:rsid w:val="00AF6A9E"/>
    <w:rsid w:val="00B023EA"/>
    <w:rsid w:val="00B039D5"/>
    <w:rsid w:val="00B03BD7"/>
    <w:rsid w:val="00B07735"/>
    <w:rsid w:val="00B114E6"/>
    <w:rsid w:val="00B209A9"/>
    <w:rsid w:val="00B22188"/>
    <w:rsid w:val="00B23437"/>
    <w:rsid w:val="00B24402"/>
    <w:rsid w:val="00B25722"/>
    <w:rsid w:val="00B2681D"/>
    <w:rsid w:val="00B2710A"/>
    <w:rsid w:val="00B27FFB"/>
    <w:rsid w:val="00B35BF6"/>
    <w:rsid w:val="00B362D8"/>
    <w:rsid w:val="00B3762B"/>
    <w:rsid w:val="00B4071B"/>
    <w:rsid w:val="00B41201"/>
    <w:rsid w:val="00B4366B"/>
    <w:rsid w:val="00B43D10"/>
    <w:rsid w:val="00B50020"/>
    <w:rsid w:val="00B50CD2"/>
    <w:rsid w:val="00B516B2"/>
    <w:rsid w:val="00B64C4F"/>
    <w:rsid w:val="00B655A5"/>
    <w:rsid w:val="00B67865"/>
    <w:rsid w:val="00B85013"/>
    <w:rsid w:val="00B85D98"/>
    <w:rsid w:val="00B91A1F"/>
    <w:rsid w:val="00B91C2C"/>
    <w:rsid w:val="00B941DD"/>
    <w:rsid w:val="00B94EAA"/>
    <w:rsid w:val="00B97D41"/>
    <w:rsid w:val="00B97D5C"/>
    <w:rsid w:val="00BA1A70"/>
    <w:rsid w:val="00BA3A01"/>
    <w:rsid w:val="00BA491C"/>
    <w:rsid w:val="00BA4DCE"/>
    <w:rsid w:val="00BA7E90"/>
    <w:rsid w:val="00BB4168"/>
    <w:rsid w:val="00BB61B0"/>
    <w:rsid w:val="00BC0181"/>
    <w:rsid w:val="00BC1D2F"/>
    <w:rsid w:val="00BC2BAF"/>
    <w:rsid w:val="00BC5620"/>
    <w:rsid w:val="00BC5686"/>
    <w:rsid w:val="00BC60BD"/>
    <w:rsid w:val="00BC705F"/>
    <w:rsid w:val="00BD35AF"/>
    <w:rsid w:val="00BD5BF1"/>
    <w:rsid w:val="00BE0AD5"/>
    <w:rsid w:val="00BF2567"/>
    <w:rsid w:val="00BF36FC"/>
    <w:rsid w:val="00BF59F0"/>
    <w:rsid w:val="00BF653B"/>
    <w:rsid w:val="00C0132E"/>
    <w:rsid w:val="00C06680"/>
    <w:rsid w:val="00C11541"/>
    <w:rsid w:val="00C1292D"/>
    <w:rsid w:val="00C1452F"/>
    <w:rsid w:val="00C16AEC"/>
    <w:rsid w:val="00C2053B"/>
    <w:rsid w:val="00C21198"/>
    <w:rsid w:val="00C31F21"/>
    <w:rsid w:val="00C33C8B"/>
    <w:rsid w:val="00C34787"/>
    <w:rsid w:val="00C372B6"/>
    <w:rsid w:val="00C4050E"/>
    <w:rsid w:val="00C41EE2"/>
    <w:rsid w:val="00C43038"/>
    <w:rsid w:val="00C438DD"/>
    <w:rsid w:val="00C5183A"/>
    <w:rsid w:val="00C52181"/>
    <w:rsid w:val="00C5560F"/>
    <w:rsid w:val="00C57B28"/>
    <w:rsid w:val="00C64C32"/>
    <w:rsid w:val="00C6743F"/>
    <w:rsid w:val="00C73BD6"/>
    <w:rsid w:val="00C760AB"/>
    <w:rsid w:val="00C7696F"/>
    <w:rsid w:val="00C87F3D"/>
    <w:rsid w:val="00C92152"/>
    <w:rsid w:val="00C93B78"/>
    <w:rsid w:val="00C95998"/>
    <w:rsid w:val="00C95E3F"/>
    <w:rsid w:val="00CA74B2"/>
    <w:rsid w:val="00CB3D06"/>
    <w:rsid w:val="00CB640A"/>
    <w:rsid w:val="00CC02D5"/>
    <w:rsid w:val="00CC3055"/>
    <w:rsid w:val="00CC6B97"/>
    <w:rsid w:val="00CC7323"/>
    <w:rsid w:val="00CD06A9"/>
    <w:rsid w:val="00CE7441"/>
    <w:rsid w:val="00CF2AEE"/>
    <w:rsid w:val="00D04FED"/>
    <w:rsid w:val="00D0596A"/>
    <w:rsid w:val="00D0755D"/>
    <w:rsid w:val="00D145A0"/>
    <w:rsid w:val="00D30599"/>
    <w:rsid w:val="00D3168B"/>
    <w:rsid w:val="00D31EDF"/>
    <w:rsid w:val="00D441E4"/>
    <w:rsid w:val="00D5151F"/>
    <w:rsid w:val="00D53666"/>
    <w:rsid w:val="00D55F55"/>
    <w:rsid w:val="00D57F03"/>
    <w:rsid w:val="00D609C8"/>
    <w:rsid w:val="00D664F3"/>
    <w:rsid w:val="00D72A3C"/>
    <w:rsid w:val="00D731DD"/>
    <w:rsid w:val="00D73648"/>
    <w:rsid w:val="00D74BF5"/>
    <w:rsid w:val="00D75BEB"/>
    <w:rsid w:val="00D8240C"/>
    <w:rsid w:val="00D903BD"/>
    <w:rsid w:val="00D91350"/>
    <w:rsid w:val="00D918CB"/>
    <w:rsid w:val="00D93C49"/>
    <w:rsid w:val="00D9531E"/>
    <w:rsid w:val="00D95C4A"/>
    <w:rsid w:val="00D96F6A"/>
    <w:rsid w:val="00DA0635"/>
    <w:rsid w:val="00DA27AD"/>
    <w:rsid w:val="00DA290B"/>
    <w:rsid w:val="00DA5240"/>
    <w:rsid w:val="00DA5804"/>
    <w:rsid w:val="00DB377C"/>
    <w:rsid w:val="00DC05CB"/>
    <w:rsid w:val="00DC0EB8"/>
    <w:rsid w:val="00DC1779"/>
    <w:rsid w:val="00DC194E"/>
    <w:rsid w:val="00DC3D43"/>
    <w:rsid w:val="00DC5D3B"/>
    <w:rsid w:val="00DD0AEC"/>
    <w:rsid w:val="00DD216D"/>
    <w:rsid w:val="00DD5BBA"/>
    <w:rsid w:val="00DD7BA6"/>
    <w:rsid w:val="00DE08AC"/>
    <w:rsid w:val="00DE4E30"/>
    <w:rsid w:val="00DF2BDA"/>
    <w:rsid w:val="00DF4639"/>
    <w:rsid w:val="00E02D41"/>
    <w:rsid w:val="00E07480"/>
    <w:rsid w:val="00E1263A"/>
    <w:rsid w:val="00E1568F"/>
    <w:rsid w:val="00E16B73"/>
    <w:rsid w:val="00E219F4"/>
    <w:rsid w:val="00E21F01"/>
    <w:rsid w:val="00E24C44"/>
    <w:rsid w:val="00E26CF8"/>
    <w:rsid w:val="00E3109B"/>
    <w:rsid w:val="00E314F8"/>
    <w:rsid w:val="00E3552C"/>
    <w:rsid w:val="00E41839"/>
    <w:rsid w:val="00E44B5E"/>
    <w:rsid w:val="00E46073"/>
    <w:rsid w:val="00E565DE"/>
    <w:rsid w:val="00E60B59"/>
    <w:rsid w:val="00E60C93"/>
    <w:rsid w:val="00E626A6"/>
    <w:rsid w:val="00E72B36"/>
    <w:rsid w:val="00E74DF9"/>
    <w:rsid w:val="00E7573B"/>
    <w:rsid w:val="00E7592F"/>
    <w:rsid w:val="00E83A63"/>
    <w:rsid w:val="00E92862"/>
    <w:rsid w:val="00E94D73"/>
    <w:rsid w:val="00E95781"/>
    <w:rsid w:val="00E95F4C"/>
    <w:rsid w:val="00EB1F11"/>
    <w:rsid w:val="00EB699E"/>
    <w:rsid w:val="00EC5DAD"/>
    <w:rsid w:val="00EC725B"/>
    <w:rsid w:val="00EC7928"/>
    <w:rsid w:val="00ED04F8"/>
    <w:rsid w:val="00ED690E"/>
    <w:rsid w:val="00ED6B9C"/>
    <w:rsid w:val="00EE049A"/>
    <w:rsid w:val="00EE797E"/>
    <w:rsid w:val="00EF2393"/>
    <w:rsid w:val="00EF547C"/>
    <w:rsid w:val="00EF5ED2"/>
    <w:rsid w:val="00EF5F11"/>
    <w:rsid w:val="00EF7C94"/>
    <w:rsid w:val="00F0592A"/>
    <w:rsid w:val="00F0716E"/>
    <w:rsid w:val="00F120AA"/>
    <w:rsid w:val="00F16FB3"/>
    <w:rsid w:val="00F2391D"/>
    <w:rsid w:val="00F31457"/>
    <w:rsid w:val="00F32B4B"/>
    <w:rsid w:val="00F33AE1"/>
    <w:rsid w:val="00F43B96"/>
    <w:rsid w:val="00F43D5F"/>
    <w:rsid w:val="00F44749"/>
    <w:rsid w:val="00F45818"/>
    <w:rsid w:val="00F5018F"/>
    <w:rsid w:val="00F56D12"/>
    <w:rsid w:val="00F57A8E"/>
    <w:rsid w:val="00F624EF"/>
    <w:rsid w:val="00F62FD8"/>
    <w:rsid w:val="00F63DF8"/>
    <w:rsid w:val="00F71608"/>
    <w:rsid w:val="00F81472"/>
    <w:rsid w:val="00F81B93"/>
    <w:rsid w:val="00F81FE4"/>
    <w:rsid w:val="00F90B2E"/>
    <w:rsid w:val="00F9111C"/>
    <w:rsid w:val="00F92704"/>
    <w:rsid w:val="00F93489"/>
    <w:rsid w:val="00FA45C5"/>
    <w:rsid w:val="00FA6377"/>
    <w:rsid w:val="00FA7AAF"/>
    <w:rsid w:val="00FB6ACF"/>
    <w:rsid w:val="00FC179B"/>
    <w:rsid w:val="00FC31C1"/>
    <w:rsid w:val="00FC31CF"/>
    <w:rsid w:val="00FD13EA"/>
    <w:rsid w:val="00FD54FC"/>
    <w:rsid w:val="00FD58A9"/>
    <w:rsid w:val="00FE0536"/>
    <w:rsid w:val="00FE078F"/>
    <w:rsid w:val="00FE2366"/>
    <w:rsid w:val="00FE2C50"/>
    <w:rsid w:val="00FE4B3A"/>
    <w:rsid w:val="00FE76C0"/>
    <w:rsid w:val="00FF1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0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B69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B32117A086F8E32D2E7D572F06851ED1AA82BFBBBC0405742AB5243A3C9B3DDE6570BE22V301K" TargetMode="External"/><Relationship Id="rId13" Type="http://schemas.openxmlformats.org/officeDocument/2006/relationships/hyperlink" Target="consultantplus://offline/ref=89B32117A086F8E32D2E7D572F06851ED1AB8DB7B5B90405742AB5243A3C9B3DDE6570B924312798V908K" TargetMode="External"/><Relationship Id="rId18" Type="http://schemas.openxmlformats.org/officeDocument/2006/relationships/hyperlink" Target="consultantplus://offline/ref=89B32117A086F8E32D2E7D572F06851ED1AA82BFBBBC0405742AB5243A3C9B3DDE6570BE22V301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9B32117A086F8E32D2E7D572F06851ED1AA82BFBBBC0405742AB5243A3C9B3DDE6570BE22V301K" TargetMode="External"/><Relationship Id="rId7" Type="http://schemas.openxmlformats.org/officeDocument/2006/relationships/hyperlink" Target="consultantplus://offline/ref=89B32117A086F8E32D2E7D572F06851ED1AB8DB7B5B90405742AB5243A3C9B3DDE6570BD25V302K" TargetMode="External"/><Relationship Id="rId12" Type="http://schemas.openxmlformats.org/officeDocument/2006/relationships/hyperlink" Target="consultantplus://offline/ref=89B32117A086F8E32D2E7D572F06851ED1AA82BFBBBC0405742AB5243AV30CK" TargetMode="External"/><Relationship Id="rId17" Type="http://schemas.openxmlformats.org/officeDocument/2006/relationships/hyperlink" Target="consultantplus://offline/ref=89B32117A086F8E32D2E7D572F06851ED1AB8DB7B5B90405742AB5243A3C9B3DDE6570BD25V302K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9B32117A086F8E32D2E7D572F06851ED1AA82BFBBBC0405742AB5243AV30CK" TargetMode="External"/><Relationship Id="rId20" Type="http://schemas.openxmlformats.org/officeDocument/2006/relationships/hyperlink" Target="consultantplus://offline/ref=89B32117A086F8E32D2E7D572F06851ED1AA82BFBBBC0405742AB5243AV30C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9B32117A086F8E32D2E7D572F06851ED1AB8DB7B5B90405742AB5243A3C9B3DDE6570B924312798V90BK" TargetMode="External"/><Relationship Id="rId11" Type="http://schemas.openxmlformats.org/officeDocument/2006/relationships/hyperlink" Target="consultantplus://offline/ref=89B32117A086F8E32D2E7D572F06851ED1AB8DB7B5B90405742AB5243AV30CK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89B32117A086F8E32D2E7D572F06851ED1AB8DB7B5B90405742AB5243A3C9B3DDE6570B924312798V908K" TargetMode="External"/><Relationship Id="rId15" Type="http://schemas.openxmlformats.org/officeDocument/2006/relationships/hyperlink" Target="consultantplus://offline/ref=89B32117A086F8E32D2E7D572F06851ED1AA82BFBBBC0405742AB5243A3C9B3DDE6570BE22V301K" TargetMode="External"/><Relationship Id="rId23" Type="http://schemas.openxmlformats.org/officeDocument/2006/relationships/hyperlink" Target="consultantplus://offline/ref=89B32117A086F8E32D2E7D572F06851ED1AA82BFBBBC0405742AB5243A3C9B3DDE6570BE22V301K" TargetMode="External"/><Relationship Id="rId10" Type="http://schemas.openxmlformats.org/officeDocument/2006/relationships/hyperlink" Target="consultantplus://offline/ref=89B32117A086F8E32D2E7D572F06851ED1AB8DB7B5B90405742AB5243AV30CK" TargetMode="External"/><Relationship Id="rId19" Type="http://schemas.openxmlformats.org/officeDocument/2006/relationships/hyperlink" Target="consultantplus://offline/ref=89B32117A086F8E32D2E7D572F06851ED1AB8DB7B5B90405742AB5243A3C9B3DDE6570B924312798V908K" TargetMode="External"/><Relationship Id="rId4" Type="http://schemas.openxmlformats.org/officeDocument/2006/relationships/hyperlink" Target="consultantplus://offline/ref=89B32117A086F8E32D2E7D572F06851ED1AB8DB7B5B90405742AB5243A3C9B3DDE6570BE24V306K" TargetMode="External"/><Relationship Id="rId9" Type="http://schemas.openxmlformats.org/officeDocument/2006/relationships/hyperlink" Target="consultantplus://offline/ref=89B32117A086F8E32D2E7D572F06851ED1AA82BFBBBC0405742AB5243AV30CK" TargetMode="External"/><Relationship Id="rId14" Type="http://schemas.openxmlformats.org/officeDocument/2006/relationships/hyperlink" Target="consultantplus://offline/ref=89B32117A086F8E32D2E7D572F06851ED1AB8DB7B5B90405742AB5243A3C9B3DDE6570BD25V302K" TargetMode="External"/><Relationship Id="rId22" Type="http://schemas.openxmlformats.org/officeDocument/2006/relationships/hyperlink" Target="consultantplus://offline/ref=89B32117A086F8E32D2E7D572F06851ED1AB8DB7B5B90405742AB5243A3C9B3DDE6570B924312798V908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2247</Words>
  <Characters>12814</Characters>
  <Application>Microsoft Office Word</Application>
  <DocSecurity>0</DocSecurity>
  <Lines>106</Lines>
  <Paragraphs>30</Paragraphs>
  <ScaleCrop>false</ScaleCrop>
  <Company>ТФОМС ТО</Company>
  <LinksUpToDate>false</LinksUpToDate>
  <CharactersWithSpaces>15031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mogutov</dc:creator>
  <cp:keywords/>
  <dc:description/>
  <cp:lastModifiedBy>mogutov</cp:lastModifiedBy>
  <cp:revision>3</cp:revision>
  <dcterms:created xsi:type="dcterms:W3CDTF">2014-03-25T10:52:00Z</dcterms:created>
  <dcterms:modified xsi:type="dcterms:W3CDTF">2014-03-25T10:52:00Z</dcterms:modified>
</cp:coreProperties>
</file>