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5" w:rsidRDefault="004918AB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8"/>
        </w:rPr>
        <w:t>1. ГУП «Московский метрополитен»</w:t>
      </w:r>
    </w:p>
    <w:p w:rsidR="00C24885" w:rsidRDefault="00C24885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</w:p>
    <w:p w:rsidR="00C24885" w:rsidRDefault="004918AB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пр-т. Мира, д. 41, стр. 2, г. Москва,</w:t>
      </w:r>
    </w:p>
    <w:p w:rsidR="00C24885" w:rsidRDefault="004918AB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129110</w:t>
      </w:r>
    </w:p>
    <w:p w:rsidR="00C24885" w:rsidRDefault="00C24885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</w:p>
    <w:p w:rsidR="00C24885" w:rsidRDefault="004918AB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2. ГКУ «ДТЗ»</w:t>
      </w:r>
    </w:p>
    <w:p w:rsidR="00C24885" w:rsidRDefault="00C24885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</w:p>
    <w:p w:rsidR="00C24885" w:rsidRDefault="004918AB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ул. Рогожский Вал, д. 9/2, г. Москва,</w:t>
      </w:r>
    </w:p>
    <w:p w:rsidR="00C24885" w:rsidRDefault="004918AB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109544</w:t>
      </w:r>
    </w:p>
    <w:p w:rsidR="00C24885" w:rsidRDefault="00C24885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</w:p>
    <w:p w:rsidR="00C24885" w:rsidRDefault="004918AB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 ООО «МСТ»</w:t>
      </w:r>
    </w:p>
    <w:p w:rsidR="00C24885" w:rsidRDefault="00C24885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</w:p>
    <w:p w:rsidR="00C24885" w:rsidRDefault="004918AB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деревня Лобаново, 230,</w:t>
      </w:r>
    </w:p>
    <w:p w:rsidR="00C24885" w:rsidRDefault="004918AB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Истринский р-н., Московская обл.,</w:t>
      </w:r>
    </w:p>
    <w:p w:rsidR="00C24885" w:rsidRDefault="004918AB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143581</w:t>
      </w:r>
    </w:p>
    <w:p w:rsidR="00C24885" w:rsidRDefault="00C24885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</w:p>
    <w:p w:rsidR="00C24885" w:rsidRDefault="004918AB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 АО «ЕЭТП»</w:t>
      </w:r>
    </w:p>
    <w:p w:rsidR="00C24885" w:rsidRDefault="00C24885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</w:p>
    <w:p w:rsidR="00C24885" w:rsidRDefault="004918AB">
      <w:pPr>
        <w:pStyle w:val="Standarduser"/>
        <w:tabs>
          <w:tab w:val="left" w:pos="13319"/>
        </w:tabs>
        <w:spacing w:line="283" w:lineRule="exact"/>
        <w:ind w:left="5130" w:right="8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60-я Октября пр., д. 9, г. Москва, 117312</w:t>
      </w:r>
    </w:p>
    <w:p w:rsidR="00C24885" w:rsidRDefault="00C24885">
      <w:pPr>
        <w:pStyle w:val="Standard"/>
        <w:ind w:left="4959"/>
        <w:jc w:val="center"/>
        <w:rPr>
          <w:rFonts w:ascii="Calibri" w:eastAsia="Calibri" w:hAnsi="Calibri" w:cs="Calibri"/>
          <w:sz w:val="28"/>
          <w:szCs w:val="28"/>
        </w:rPr>
      </w:pPr>
    </w:p>
    <w:p w:rsidR="00C24885" w:rsidRDefault="00C24885">
      <w:pPr>
        <w:pStyle w:val="Standard"/>
        <w:ind w:left="4959"/>
        <w:jc w:val="center"/>
        <w:rPr>
          <w:rFonts w:ascii="Calibri" w:eastAsia="Calibri" w:hAnsi="Calibri" w:cs="Calibri"/>
          <w:sz w:val="28"/>
          <w:szCs w:val="28"/>
        </w:rPr>
      </w:pPr>
    </w:p>
    <w:p w:rsidR="00C24885" w:rsidRDefault="00C24885">
      <w:pPr>
        <w:pStyle w:val="Standard"/>
        <w:ind w:left="4959"/>
        <w:jc w:val="center"/>
        <w:rPr>
          <w:rFonts w:ascii="Calibri" w:eastAsia="Calibri" w:hAnsi="Calibri" w:cs="Calibri"/>
          <w:sz w:val="28"/>
          <w:szCs w:val="28"/>
        </w:rPr>
      </w:pPr>
    </w:p>
    <w:p w:rsidR="00C24885" w:rsidRDefault="004918AB">
      <w:pPr>
        <w:pStyle w:val="Standard"/>
        <w:ind w:left="15" w:hanging="15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РЕШЕНИЕ</w:t>
      </w:r>
    </w:p>
    <w:p w:rsidR="00C24885" w:rsidRDefault="004918AB">
      <w:pPr>
        <w:pStyle w:val="Standard"/>
        <w:ind w:left="15" w:hanging="15"/>
        <w:jc w:val="center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по делу </w:t>
      </w:r>
      <w:r>
        <w:rPr>
          <w:rFonts w:eastAsia="Segoe UI Symbol" w:cs="Segoe UI Symbol"/>
          <w:b/>
          <w:color w:val="000000"/>
          <w:sz w:val="28"/>
          <w:szCs w:val="28"/>
          <w:shd w:val="clear" w:color="auto" w:fill="FFFFFF"/>
        </w:rPr>
        <w:t>№077/06/57-7786/2019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о нарушении</w:t>
      </w:r>
    </w:p>
    <w:p w:rsidR="00C24885" w:rsidRDefault="004918AB">
      <w:pPr>
        <w:pStyle w:val="Standard"/>
        <w:ind w:left="15" w:hanging="15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законодательства об осуществлении закупок</w:t>
      </w:r>
    </w:p>
    <w:p w:rsidR="00C24885" w:rsidRDefault="004918AB">
      <w:pPr>
        <w:pStyle w:val="Standard"/>
        <w:numPr>
          <w:ilvl w:val="0"/>
          <w:numId w:val="3"/>
        </w:numPr>
        <w:ind w:left="0" w:firstLine="0"/>
        <w:jc w:val="both"/>
        <w:rPr>
          <w:b/>
          <w:bCs/>
          <w:color w:val="000000"/>
          <w:spacing w:val="-2"/>
          <w:sz w:val="28"/>
          <w:szCs w:val="28"/>
          <w:shd w:val="clear" w:color="auto" w:fill="FFFFFF"/>
        </w:rPr>
      </w:pPr>
      <w:r>
        <w:rPr>
          <w:b/>
          <w:bCs/>
          <w:color w:val="000000"/>
          <w:spacing w:val="-2"/>
          <w:sz w:val="28"/>
          <w:szCs w:val="28"/>
          <w:shd w:val="clear" w:color="auto" w:fill="FFFFFF"/>
        </w:rPr>
        <w:t>19.08.2019                                                                                                         г. Москва</w:t>
      </w:r>
    </w:p>
    <w:p w:rsidR="00C24885" w:rsidRDefault="004918AB">
      <w:pPr>
        <w:pStyle w:val="Standard"/>
        <w:numPr>
          <w:ilvl w:val="0"/>
          <w:numId w:val="1"/>
        </w:numPr>
        <w:ind w:left="0" w:firstLine="680"/>
        <w:jc w:val="both"/>
      </w:pPr>
      <w:r>
        <w:rPr>
          <w:color w:val="000000"/>
          <w:spacing w:val="6"/>
          <w:sz w:val="28"/>
          <w:szCs w:val="28"/>
          <w:shd w:val="clear" w:color="auto" w:fill="FFFFFF"/>
        </w:rPr>
        <w:t xml:space="preserve">Комиссия 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по контролю в сфере закупок товаров, работ, услуг 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Управления </w:t>
      </w:r>
      <w:r>
        <w:rPr>
          <w:color w:val="000000"/>
          <w:spacing w:val="6"/>
          <w:sz w:val="28"/>
          <w:szCs w:val="28"/>
          <w:shd w:val="clear" w:color="auto" w:fill="FFFFFF"/>
        </w:rPr>
        <w:t>Федеральной антимонопольной службы по г. Москве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(далее – Комиссия Управления) в составе: 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C24885" w:rsidRDefault="004918AB">
      <w:pPr>
        <w:pStyle w:val="Standard"/>
        <w:numPr>
          <w:ilvl w:val="0"/>
          <w:numId w:val="1"/>
        </w:numPr>
        <w:ind w:left="0" w:firstLine="680"/>
        <w:jc w:val="both"/>
      </w:pPr>
      <w:r>
        <w:rPr>
          <w:rFonts w:eastAsia="Arial" w:cs="Times New Roman"/>
          <w:color w:val="000000"/>
          <w:spacing w:val="1"/>
          <w:sz w:val="28"/>
          <w:szCs w:val="28"/>
          <w:shd w:val="clear" w:color="auto" w:fill="FFFFFF"/>
        </w:rPr>
        <w:t xml:space="preserve">Заместителя председателя Комиссии — </w:t>
      </w:r>
      <w:r>
        <w:rPr>
          <w:rStyle w:val="tendersubject1"/>
          <w:rFonts w:eastAsia="Arial" w:cs="Times New Roman"/>
          <w:b w:val="0"/>
          <w:bCs w:val="0"/>
          <w:color w:val="000000"/>
          <w:spacing w:val="1"/>
          <w:sz w:val="28"/>
          <w:szCs w:val="28"/>
          <w:lang w:eastAsia="en-US"/>
        </w:rPr>
        <w:t>заместителя начальника отдела обжалования государственных закупок Л.Н. Харченко,</w:t>
      </w:r>
    </w:p>
    <w:p w:rsidR="00C24885" w:rsidRDefault="004918AB">
      <w:pPr>
        <w:pStyle w:val="Standard"/>
        <w:widowControl/>
        <w:numPr>
          <w:ilvl w:val="0"/>
          <w:numId w:val="1"/>
        </w:numPr>
        <w:shd w:val="clear" w:color="auto" w:fill="FFFFFF"/>
        <w:ind w:left="0" w:firstLine="680"/>
        <w:jc w:val="both"/>
      </w:pPr>
      <w:r>
        <w:rPr>
          <w:rStyle w:val="tendersubject1"/>
          <w:rFonts w:eastAsia="Arial" w:cs="Times New Roman"/>
          <w:b w:val="0"/>
          <w:bCs w:val="0"/>
          <w:color w:val="000000"/>
          <w:spacing w:val="1"/>
          <w:sz w:val="28"/>
          <w:szCs w:val="28"/>
          <w:lang w:eastAsia="en-US"/>
        </w:rPr>
        <w:t>Членов комиссии:</w:t>
      </w:r>
    </w:p>
    <w:p w:rsidR="00C24885" w:rsidRDefault="004918AB">
      <w:pPr>
        <w:pStyle w:val="Standard"/>
        <w:widowControl/>
        <w:numPr>
          <w:ilvl w:val="0"/>
          <w:numId w:val="1"/>
        </w:numPr>
        <w:shd w:val="clear" w:color="auto" w:fill="FFFFFF"/>
        <w:ind w:left="0" w:firstLine="680"/>
        <w:jc w:val="both"/>
      </w:pPr>
      <w:r>
        <w:rPr>
          <w:rStyle w:val="tendersubject1"/>
          <w:rFonts w:eastAsia="Arial" w:cs="Times New Roman"/>
          <w:b w:val="0"/>
          <w:bCs w:val="0"/>
          <w:color w:val="000000"/>
          <w:spacing w:val="1"/>
          <w:sz w:val="28"/>
          <w:szCs w:val="28"/>
          <w:lang w:eastAsia="en-US" w:bidi="en-US"/>
        </w:rPr>
        <w:t>Ведущего с</w:t>
      </w:r>
      <w:r>
        <w:rPr>
          <w:rStyle w:val="tendersubject1"/>
          <w:rFonts w:eastAsia="Arial" w:cs="Arial"/>
          <w:b w:val="0"/>
          <w:bCs w:val="0"/>
          <w:color w:val="000000"/>
          <w:spacing w:val="1"/>
          <w:sz w:val="28"/>
          <w:szCs w:val="28"/>
          <w:lang w:eastAsia="en-US" w:bidi="en-US"/>
        </w:rPr>
        <w:t>пециалиста-эксперта отдела обжалования государственных закупок В.А. Копысовой</w:t>
      </w:r>
      <w:r>
        <w:rPr>
          <w:rStyle w:val="tendersubject1"/>
          <w:rFonts w:eastAsia="Arial" w:cs="Arial"/>
          <w:b w:val="0"/>
          <w:bCs w:val="0"/>
          <w:color w:val="000000"/>
          <w:spacing w:val="1"/>
          <w:sz w:val="28"/>
          <w:szCs w:val="28"/>
          <w:lang w:eastAsia="en-US" w:bidi="en-US"/>
        </w:rPr>
        <w:t>,</w:t>
      </w:r>
    </w:p>
    <w:p w:rsidR="00C24885" w:rsidRDefault="004918AB">
      <w:pPr>
        <w:pStyle w:val="Standard"/>
        <w:widowControl/>
        <w:numPr>
          <w:ilvl w:val="0"/>
          <w:numId w:val="1"/>
        </w:numPr>
        <w:shd w:val="clear" w:color="auto" w:fill="FFFFFF"/>
        <w:ind w:left="0" w:firstLine="680"/>
        <w:jc w:val="both"/>
        <w:rPr>
          <w:rFonts w:eastAsia="Times New Roman CYR" w:cs="Times New Roman CYR"/>
          <w:color w:val="000000"/>
          <w:spacing w:val="1"/>
          <w:sz w:val="28"/>
          <w:szCs w:val="28"/>
        </w:rPr>
      </w:pPr>
      <w:r>
        <w:rPr>
          <w:rStyle w:val="tendersubject1"/>
          <w:rFonts w:eastAsia="Arial" w:cs="Arial"/>
          <w:b w:val="0"/>
          <w:bCs w:val="0"/>
          <w:color w:val="000000"/>
          <w:sz w:val="28"/>
          <w:szCs w:val="28"/>
          <w:lang w:eastAsia="en-US" w:bidi="en-US"/>
        </w:rPr>
        <w:t>Специалиста-эксперта отдела обжалования государственных закупок</w:t>
      </w:r>
      <w:r>
        <w:rPr>
          <w:rStyle w:val="tendersubject1"/>
          <w:rFonts w:eastAsia="Arial" w:cs="Arial"/>
          <w:b w:val="0"/>
          <w:bCs w:val="0"/>
          <w:color w:val="000000"/>
          <w:sz w:val="28"/>
          <w:szCs w:val="28"/>
          <w:lang w:eastAsia="en-US" w:bidi="en-US"/>
        </w:rPr>
        <w:br/>
      </w:r>
      <w:r>
        <w:rPr>
          <w:rStyle w:val="tendersubject1"/>
          <w:rFonts w:eastAsia="Arial" w:cs="Arial"/>
          <w:b w:val="0"/>
          <w:bCs w:val="0"/>
          <w:color w:val="000000"/>
          <w:sz w:val="28"/>
          <w:szCs w:val="28"/>
          <w:lang w:eastAsia="en-US" w:bidi="en-US"/>
        </w:rPr>
        <w:t>Д.А. Аносова,</w:t>
      </w:r>
    </w:p>
    <w:p w:rsidR="00C24885" w:rsidRDefault="004918AB">
      <w:pPr>
        <w:pStyle w:val="Standard"/>
        <w:tabs>
          <w:tab w:val="left" w:pos="9780"/>
        </w:tabs>
        <w:ind w:firstLine="716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при участии представителе</w:t>
      </w:r>
      <w:r>
        <w:rPr>
          <w:rFonts w:eastAsia="Times New Roman" w:cs="Times New Roman"/>
          <w:sz w:val="28"/>
          <w:szCs w:val="28"/>
          <w:shd w:val="clear" w:color="auto" w:fill="FFFFFF"/>
        </w:rPr>
        <w:t>й:</w:t>
      </w:r>
    </w:p>
    <w:p w:rsidR="00C24885" w:rsidRDefault="004918AB">
      <w:pPr>
        <w:pStyle w:val="Standard"/>
        <w:tabs>
          <w:tab w:val="left" w:pos="9780"/>
        </w:tabs>
        <w:ind w:firstLine="716"/>
        <w:jc w:val="both"/>
        <w:rPr>
          <w:sz w:val="28"/>
          <w:szCs w:val="28"/>
        </w:rPr>
      </w:pPr>
      <w:r>
        <w:rPr>
          <w:rStyle w:val="tendersubject1"/>
          <w:rFonts w:eastAsia="Times New Roman" w:cs="Times New Roman"/>
          <w:b w:val="0"/>
          <w:bCs w:val="0"/>
          <w:color w:val="000000"/>
          <w:spacing w:val="1"/>
          <w:sz w:val="28"/>
          <w:szCs w:val="28"/>
          <w:lang w:eastAsia="en-US"/>
        </w:rPr>
        <w:t xml:space="preserve">ГУП «Московский метрополитен»: А.В. </w:t>
      </w:r>
      <w:r>
        <w:rPr>
          <w:rStyle w:val="tendersubject1"/>
          <w:rFonts w:eastAsia="Times New Roman" w:cs="Times New Roman"/>
          <w:b w:val="0"/>
          <w:bCs w:val="0"/>
          <w:color w:val="000000"/>
          <w:spacing w:val="1"/>
          <w:sz w:val="28"/>
          <w:szCs w:val="28"/>
          <w:lang w:eastAsia="en-US"/>
        </w:rPr>
        <w:t>Тутуткина (доверенность от 20.05.2019 №НЮ-09/331),</w:t>
      </w:r>
    </w:p>
    <w:p w:rsidR="00C24885" w:rsidRDefault="004918AB">
      <w:pPr>
        <w:pStyle w:val="Standarduser"/>
        <w:tabs>
          <w:tab w:val="left" w:pos="8206"/>
        </w:tabs>
        <w:spacing w:line="283" w:lineRule="exact"/>
        <w:ind w:right="5" w:firstLine="719"/>
        <w:jc w:val="both"/>
        <w:rPr>
          <w:rFonts w:ascii="Times New Roman CYR" w:eastAsia="Times New Roman CYR" w:hAnsi="Times New Roman CYR" w:cs="Times New Roman CYR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ООО «МСТ»</w:t>
      </w:r>
      <w:r>
        <w:rPr>
          <w:rFonts w:eastAsia="Times New Roman" w:cs="Times New Roman"/>
          <w:color w:val="000000"/>
          <w:szCs w:val="28"/>
        </w:rPr>
        <w:t>: С.В. Короткова (доверенность от 01.11.2018 № 5),</w:t>
      </w:r>
    </w:p>
    <w:p w:rsidR="00C24885" w:rsidRDefault="004918AB">
      <w:pPr>
        <w:pStyle w:val="Standard"/>
        <w:tabs>
          <w:tab w:val="left" w:pos="9780"/>
        </w:tabs>
        <w:ind w:firstLine="716"/>
        <w:jc w:val="both"/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  <w:shd w:val="clear" w:color="auto" w:fill="FFFFFF"/>
        </w:rPr>
        <w:t>рассмотрев</w:t>
      </w: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 w:cs="Calibri"/>
          <w:color w:val="000000"/>
          <w:sz w:val="28"/>
          <w:szCs w:val="28"/>
          <w:shd w:val="clear" w:color="auto" w:fill="FFFFFF"/>
        </w:rPr>
        <w:t xml:space="preserve">жалобу </w:t>
      </w:r>
      <w:r>
        <w:rPr>
          <w:rFonts w:eastAsia="Times New Roman" w:cs="Times New Roman"/>
          <w:color w:val="000000"/>
          <w:sz w:val="28"/>
          <w:szCs w:val="28"/>
        </w:rPr>
        <w:t>ООО «МСТ»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 xml:space="preserve">(далее — </w:t>
      </w:r>
      <w:r>
        <w:rPr>
          <w:rFonts w:eastAsia="Times New Roman CYR" w:cs="Times New Roman"/>
          <w:color w:val="000000"/>
          <w:sz w:val="28"/>
          <w:szCs w:val="28"/>
        </w:rPr>
        <w:t>Заявитель</w:t>
      </w:r>
      <w:r>
        <w:rPr>
          <w:rFonts w:eastAsia="Times New Roman CYR" w:cs="Times New Roman"/>
          <w:color w:val="000000"/>
          <w:sz w:val="28"/>
          <w:szCs w:val="28"/>
        </w:rPr>
        <w:t xml:space="preserve">) на действия </w:t>
      </w:r>
      <w:r>
        <w:rPr>
          <w:rFonts w:eastAsia="Times New Roman" w:cs="Times New Roman"/>
          <w:color w:val="000000"/>
          <w:sz w:val="28"/>
          <w:szCs w:val="28"/>
        </w:rPr>
        <w:t>ГУП «Московский метрополитен»</w:t>
      </w:r>
      <w:r>
        <w:rPr>
          <w:rFonts w:eastAsia="Times New Roman CYR" w:cs="Times New Roman"/>
          <w:color w:val="000000"/>
          <w:sz w:val="28"/>
          <w:szCs w:val="28"/>
        </w:rPr>
        <w:t xml:space="preserve"> (далее — Заказчик) </w:t>
      </w:r>
      <w:r>
        <w:rPr>
          <w:rFonts w:eastAsia="Times New Roman CYR" w:cs="Times New Roman"/>
          <w:color w:val="000000"/>
        </w:rPr>
        <w:t xml:space="preserve">при проведении электронного аукциона на право заключения государственного контракта на выполнение работ по замене калориферов в электродепо «Владыкино» </w:t>
      </w:r>
      <w:r>
        <w:rPr>
          <w:rFonts w:eastAsia="Times New Roman" w:cs="Times New Roman"/>
          <w:color w:val="000000"/>
        </w:rPr>
        <w:t>(Закупка №037320008211</w:t>
      </w:r>
      <w:r>
        <w:rPr>
          <w:rFonts w:eastAsia="Times New Roman" w:cs="Times New Roman"/>
          <w:color w:val="000000"/>
        </w:rPr>
        <w:t xml:space="preserve">9000290) </w:t>
      </w: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</w:rPr>
        <w:t>(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далее</w:t>
      </w: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– электронный</w:t>
      </w: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аукцион</w:t>
      </w: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аукцион</w:t>
      </w: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</w:rPr>
        <w:t xml:space="preserve">) в соответствии с Федеральным законом от </w:t>
      </w: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</w:rPr>
        <w:lastRenderedPageBreak/>
        <w:t>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Администрат</w:t>
      </w: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</w:rPr>
        <w:t>ивным регламентом ФАС по исполнению государственной функции по рассмотрению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</w:t>
      </w: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</w:rPr>
        <w:t>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нужд, утвержденным приказом ФАС России от 19.11.2014 №727/14,</w:t>
      </w:r>
    </w:p>
    <w:p w:rsidR="00C24885" w:rsidRDefault="00C24885">
      <w:pPr>
        <w:pStyle w:val="Standard"/>
        <w:tabs>
          <w:tab w:val="left" w:pos="9780"/>
        </w:tabs>
        <w:ind w:firstLine="716"/>
        <w:jc w:val="both"/>
        <w:rPr>
          <w:rFonts w:eastAsia="Times New Roman CYR" w:cs="Times New Roman CYR"/>
          <w:color w:val="000000"/>
          <w:sz w:val="28"/>
          <w:szCs w:val="28"/>
          <w:shd w:val="clear" w:color="auto" w:fill="FFFFFF"/>
        </w:rPr>
      </w:pPr>
    </w:p>
    <w:p w:rsidR="00C24885" w:rsidRDefault="004918AB">
      <w:pPr>
        <w:pStyle w:val="Standard"/>
        <w:tabs>
          <w:tab w:val="left" w:pos="9780"/>
        </w:tabs>
        <w:jc w:val="center"/>
        <w:rPr>
          <w:rFonts w:eastAsia="Times New Roman" w:cs="Times New Roman"/>
          <w:b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sz w:val="28"/>
          <w:szCs w:val="28"/>
          <w:shd w:val="clear" w:color="auto" w:fill="FFFFFF"/>
        </w:rPr>
        <w:t>УСТАНОВИЛА:</w:t>
      </w:r>
    </w:p>
    <w:p w:rsidR="00C24885" w:rsidRDefault="00C24885">
      <w:pPr>
        <w:pStyle w:val="Standard"/>
        <w:tabs>
          <w:tab w:val="left" w:pos="9780"/>
        </w:tabs>
        <w:jc w:val="center"/>
        <w:rPr>
          <w:rFonts w:eastAsia="Times New Roman" w:cs="Times New Roman"/>
          <w:b/>
          <w:sz w:val="28"/>
          <w:szCs w:val="28"/>
          <w:shd w:val="clear" w:color="auto" w:fill="FFFFFF"/>
        </w:rPr>
      </w:pPr>
    </w:p>
    <w:p w:rsidR="00C24885" w:rsidRDefault="004918AB">
      <w:pPr>
        <w:pStyle w:val="Standard"/>
        <w:ind w:firstLine="71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Московское УФАС России поступила жалоба Заявителя на действия Заказчика при проведении электронного аукциона.</w:t>
      </w:r>
    </w:p>
    <w:p w:rsidR="00C24885" w:rsidRDefault="004918AB">
      <w:pPr>
        <w:pStyle w:val="Standarduser"/>
        <w:numPr>
          <w:ilvl w:val="0"/>
          <w:numId w:val="4"/>
        </w:numPr>
        <w:shd w:val="clear" w:color="auto" w:fill="FFFFFF"/>
        <w:autoSpaceDE w:val="0"/>
        <w:ind w:firstLine="716"/>
        <w:jc w:val="both"/>
        <w:rPr>
          <w:rFonts w:ascii="Times New Roman CYR" w:hAnsi="Times New Roman CYR"/>
          <w:szCs w:val="28"/>
        </w:rPr>
      </w:pPr>
      <w:r>
        <w:rPr>
          <w:rStyle w:val="tendersubject1"/>
          <w:rFonts w:eastAsia="Arial" w:cs="Times New Roman"/>
          <w:b w:val="0"/>
          <w:bCs w:val="0"/>
          <w:color w:val="auto"/>
          <w:spacing w:val="5"/>
          <w:sz w:val="28"/>
          <w:szCs w:val="28"/>
          <w:shd w:val="clear" w:color="auto" w:fill="FFFFFF"/>
          <w:lang w:eastAsia="ar-SA" w:bidi="en-US"/>
        </w:rPr>
        <w:t xml:space="preserve">На заседании Комиссии Управления Заказчиком представлены документы и сведения, запрашиваемые письмом Московского УФАС России </w:t>
      </w:r>
      <w:r>
        <w:rPr>
          <w:rStyle w:val="tendersubject1"/>
          <w:rFonts w:eastAsia="Times New Roman" w:cs="Times New Roman"/>
          <w:b w:val="0"/>
          <w:bCs w:val="0"/>
          <w:color w:val="000000"/>
          <w:spacing w:val="5"/>
          <w:sz w:val="28"/>
          <w:szCs w:val="28"/>
          <w:lang w:eastAsia="en-US" w:bidi="en-US"/>
        </w:rPr>
        <w:t>от 14.08.2019</w:t>
      </w:r>
      <w:r>
        <w:rPr>
          <w:rStyle w:val="tendersubject1"/>
          <w:rFonts w:eastAsia="Times New Roman CYR" w:cs="Times New Roman CYR"/>
          <w:b w:val="0"/>
          <w:bCs w:val="0"/>
          <w:color w:val="000000"/>
          <w:spacing w:val="5"/>
          <w:sz w:val="28"/>
          <w:szCs w:val="28"/>
          <w:lang w:eastAsia="en-US" w:bidi="en-US"/>
        </w:rPr>
        <w:t xml:space="preserve"> №АК/41027/19</w:t>
      </w:r>
      <w:r>
        <w:rPr>
          <w:rFonts w:eastAsia="Times-Roman, 'Times New Roman'" w:cs="Times-Roman, 'Times New Roman'"/>
          <w:spacing w:val="5"/>
          <w:shd w:val="clear" w:color="auto" w:fill="FFFFFF"/>
          <w:lang w:eastAsia="ar-SA" w:bidi="en-US"/>
        </w:rPr>
        <w:t>.</w:t>
      </w:r>
    </w:p>
    <w:p w:rsidR="00C24885" w:rsidRDefault="004918AB">
      <w:pPr>
        <w:pStyle w:val="Standard"/>
        <w:numPr>
          <w:ilvl w:val="0"/>
          <w:numId w:val="2"/>
        </w:numPr>
        <w:shd w:val="clear" w:color="auto" w:fill="FFFFFF"/>
        <w:tabs>
          <w:tab w:val="left" w:pos="692"/>
        </w:tabs>
        <w:autoSpaceDE w:val="0"/>
        <w:ind w:firstLine="703"/>
        <w:jc w:val="both"/>
        <w:rPr>
          <w:rFonts w:ascii="Times New Roman CYR" w:hAnsi="Times New Roman CYR" w:hint="eastAsia"/>
          <w:sz w:val="28"/>
          <w:szCs w:val="28"/>
        </w:rPr>
      </w:pP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lang w:eastAsia="ru-RU" w:bidi="en-US"/>
        </w:rPr>
        <w:t xml:space="preserve">Согласно 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 xml:space="preserve">доводам жалобы Заказчиком неправомерно размещен протокол признания участника уклонившимся от заключения контракта от </w:t>
      </w:r>
      <w:r>
        <w:rPr>
          <w:rFonts w:eastAsia="Times New Roman" w:cs="Times New Roman"/>
          <w:color w:val="000000"/>
          <w:lang w:eastAsia="ru-RU" w:bidi="en-US"/>
        </w:rPr>
        <w:t>07.08.2019 №ППУ1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 xml:space="preserve"> в связи с представлением банковской гарантии, не соответствующей требованиям а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>укционной документации, по следующему основанию: «В соответствии с п. 2 ч. 6 ст. 45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>он о контрактной системе) основанием для отказа в принятии банковской гарантии Заказчиком является несоответствие банковской гарантии условиям, указанным в ч. 2 и 3 ст. 45 Закона о контрактной системе. Вместе с тем, пп. 25.1 и 25.2 документации об Аукционе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 xml:space="preserve"> установлено, что предоставляемая банковская гарантия должна соответствовать требованиям, установленным Гражданским кодексом Российской Федерации, иным законодательством Российской Федерации, в том числе, утвержденным Постановлением Правительства Российско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>й Федерации от 8 ноября 2013 г.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нужд». Банковская гарантия от 31 июля 20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>19 г. № ЭГ-051949/19 содержит условие: «Ответственность Гаранта перед Бенефициаром за невыполнение или ненадлежащее выполнение обязательства по настоящей Гарантии ограничена суммой, на которую выдана Гарантия и суммой неустойки, предусмотренной настоящей Г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>арантией», при наличии в п. 2.8 условия «В случае неисполнения Требования по гарантии в установленный срок Гарант обязуется уплатить неустойку Бенефициару в размере 0,1% (Ноль целых одной десятой процента) от суммы, подлежащей уплате за каждый день просроч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 xml:space="preserve">ки. В соответствии со ст. 377 Гражданского кодекса Российской Федерации обязательство Гаранта перед 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lastRenderedPageBreak/>
        <w:t xml:space="preserve">Бенефициаром ограничено уплатой суммы, на которую выдана гарантия, а ответственность гаранта перед Бенефициаром за невыполнение или ненадлежащее выполнение 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>обязательства по гарантии не ограничена суммой, на которую выдана гарантия, если в гарантии не предусмотрено иное. Ограничение размера ответственности Гаранта документацией об Аукционе и Законом о контрактной системе не предусмотрено. Таким образом, вышеук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>азанные положения банковской гарантии от 31 июля 2019 г. № ЭГ-051949/19 об ограничении ответственности гаранта не соответствуют законодательству о контрактной системе в сфере закупок и требованиям документации об Аукционе».</w:t>
      </w:r>
    </w:p>
    <w:p w:rsidR="00C24885" w:rsidRDefault="004918AB">
      <w:pPr>
        <w:pStyle w:val="Standard"/>
        <w:numPr>
          <w:ilvl w:val="0"/>
          <w:numId w:val="2"/>
        </w:numPr>
        <w:shd w:val="clear" w:color="auto" w:fill="FFFFFF"/>
        <w:tabs>
          <w:tab w:val="left" w:pos="692"/>
        </w:tabs>
        <w:autoSpaceDE w:val="0"/>
        <w:ind w:firstLine="703"/>
        <w:jc w:val="both"/>
        <w:rPr>
          <w:rFonts w:ascii="Times New Roman CYR" w:hAnsi="Times New Roman CYR" w:hint="eastAsia"/>
          <w:sz w:val="28"/>
          <w:szCs w:val="28"/>
        </w:rPr>
      </w:pP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>На основании ч.1 ст.83.2 Закона о контрактной системе по результатам электронной процедуры контракт заключается с победителем электронной процедуры.</w:t>
      </w:r>
    </w:p>
    <w:p w:rsidR="00C24885" w:rsidRDefault="004918AB">
      <w:pPr>
        <w:pStyle w:val="Standard"/>
        <w:numPr>
          <w:ilvl w:val="0"/>
          <w:numId w:val="2"/>
        </w:numPr>
        <w:shd w:val="clear" w:color="auto" w:fill="FFFFFF"/>
        <w:tabs>
          <w:tab w:val="left" w:pos="692"/>
        </w:tabs>
        <w:autoSpaceDE w:val="0"/>
        <w:ind w:firstLine="703"/>
        <w:jc w:val="both"/>
        <w:rPr>
          <w:rFonts w:ascii="Times New Roman CYR" w:hAnsi="Times New Roman CYR" w:hint="eastAsia"/>
          <w:sz w:val="28"/>
          <w:szCs w:val="28"/>
        </w:rPr>
      </w:pP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>В соответствии с ч.16 ст.66 Закона о контрактной системе в</w:t>
      </w:r>
      <w:r>
        <w:rPr>
          <w:rStyle w:val="a7"/>
          <w:rFonts w:eastAsia="Lucida Sans Unicode" w:cs="Times New Roman"/>
          <w:spacing w:val="1"/>
          <w:sz w:val="28"/>
          <w:szCs w:val="20"/>
          <w:shd w:val="clear" w:color="auto" w:fill="FFFFFF"/>
          <w:lang w:eastAsia="ru-RU" w:bidi="en-US"/>
        </w:rPr>
        <w:t xml:space="preserve"> случае, если по окончании срока под</w:t>
      </w:r>
      <w:r>
        <w:rPr>
          <w:rStyle w:val="a7"/>
          <w:rFonts w:eastAsia="Lucida Sans Unicode" w:cs="Times New Roman"/>
          <w:spacing w:val="1"/>
          <w:sz w:val="28"/>
          <w:szCs w:val="20"/>
          <w:shd w:val="clear" w:color="auto" w:fill="FFFFFF"/>
          <w:lang w:eastAsia="ru-RU" w:bidi="en-US"/>
        </w:rPr>
        <w:t>ачи заявок на участие в электронном аукционе подана только одна заявка или не подано ни одной заявки, такой аукцион признается несостоявшимся.</w:t>
      </w:r>
    </w:p>
    <w:p w:rsidR="00C24885" w:rsidRDefault="004918AB">
      <w:pPr>
        <w:pStyle w:val="Standard"/>
        <w:numPr>
          <w:ilvl w:val="0"/>
          <w:numId w:val="2"/>
        </w:numPr>
        <w:shd w:val="clear" w:color="auto" w:fill="FFFFFF"/>
        <w:tabs>
          <w:tab w:val="left" w:pos="692"/>
        </w:tabs>
        <w:autoSpaceDE w:val="0"/>
        <w:ind w:firstLine="703"/>
        <w:jc w:val="both"/>
        <w:rPr>
          <w:rFonts w:ascii="Times New Roman CYR" w:hAnsi="Times New Roman CYR" w:hint="eastAsia"/>
          <w:sz w:val="28"/>
          <w:szCs w:val="28"/>
        </w:rPr>
      </w:pPr>
      <w:r>
        <w:rPr>
          <w:rStyle w:val="a7"/>
          <w:rFonts w:eastAsia="Lucida Sans Unicode" w:cs="Times New Roman"/>
          <w:spacing w:val="1"/>
          <w:sz w:val="28"/>
          <w:szCs w:val="20"/>
          <w:shd w:val="clear" w:color="auto" w:fill="FFFFFF"/>
          <w:lang w:eastAsia="ru-RU" w:bidi="en-US"/>
        </w:rPr>
        <w:t>Согласно ч.</w:t>
      </w:r>
      <w:r>
        <w:rPr>
          <w:rStyle w:val="a7"/>
          <w:rFonts w:eastAsia="Lucida Sans Unicode" w:cs="Times New Roman"/>
          <w:spacing w:val="1"/>
          <w:sz w:val="28"/>
          <w:szCs w:val="20"/>
          <w:shd w:val="clear" w:color="auto" w:fill="FFFFFF"/>
          <w:lang w:eastAsia="ru-RU" w:bidi="en-US"/>
        </w:rPr>
        <w:t xml:space="preserve">4 ст.71 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>Закона о контрактной системе  в случае, если электронный аукцион признан не состоявшимся по основанию, предусмотренному частью 16 статьи 66 Закона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 xml:space="preserve"> о контрактной системе в связи с тем, что по окончании срока подачи заявок на участие в таком аукционе подана только одна заявка на участие в нем </w:t>
      </w:r>
      <w:r>
        <w:rPr>
          <w:rStyle w:val="a7"/>
          <w:rFonts w:eastAsia="Lucida Sans Unicode" w:cs="Times New Roman"/>
          <w:spacing w:val="1"/>
          <w:sz w:val="28"/>
          <w:szCs w:val="20"/>
          <w:shd w:val="clear" w:color="auto" w:fill="FFFFFF"/>
          <w:lang w:eastAsia="ru-RU" w:bidi="en-US"/>
        </w:rPr>
        <w:t xml:space="preserve"> контракт </w:t>
      </w:r>
      <w:r>
        <w:rPr>
          <w:rStyle w:val="a7"/>
          <w:rFonts w:eastAsia="Lucida Sans Unicode" w:cs="Times New Roman"/>
          <w:spacing w:val="1"/>
          <w:sz w:val="28"/>
          <w:szCs w:val="20"/>
          <w:shd w:val="clear" w:color="auto" w:fill="FFFFFF"/>
          <w:lang w:eastAsia="ru-RU" w:bidi="en-US"/>
        </w:rPr>
        <w:t xml:space="preserve">заключается с участником такого аукциона, подавшим единственную заявку на участие в нем, если этот участник и поданная им заявка признаны соответствующими требованиям 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>Закона о контрактной системе</w:t>
      </w:r>
      <w:r>
        <w:rPr>
          <w:rStyle w:val="a7"/>
          <w:rFonts w:eastAsia="Lucida Sans Unicode" w:cs="Times New Roman"/>
          <w:spacing w:val="1"/>
          <w:sz w:val="28"/>
          <w:szCs w:val="20"/>
          <w:shd w:val="clear" w:color="auto" w:fill="FFFFFF"/>
          <w:lang w:eastAsia="ru-RU" w:bidi="en-US"/>
        </w:rPr>
        <w:t xml:space="preserve"> и документации о таком аукционе, в соответствии с пунктом 25.1 части 1 статьи 93 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>Закона о контрактной системе</w:t>
      </w:r>
      <w:r>
        <w:rPr>
          <w:rStyle w:val="a7"/>
          <w:rFonts w:eastAsia="Lucida Sans Unicode" w:cs="Times New Roman"/>
          <w:spacing w:val="1"/>
          <w:sz w:val="28"/>
          <w:szCs w:val="20"/>
          <w:shd w:val="clear" w:color="auto" w:fill="FFFFFF"/>
          <w:lang w:eastAsia="ru-RU" w:bidi="en-US"/>
        </w:rPr>
        <w:t xml:space="preserve"> в порядке, установленном статьей 83.2 </w:t>
      </w:r>
      <w:r>
        <w:rPr>
          <w:rStyle w:val="a7"/>
          <w:rFonts w:eastAsia="Lucida Sans Unicode" w:cs="Times New Roman"/>
          <w:spacing w:val="1"/>
          <w:sz w:val="28"/>
          <w:shd w:val="clear" w:color="auto" w:fill="FFFFFF"/>
          <w:lang w:eastAsia="ru-RU" w:bidi="en-US"/>
        </w:rPr>
        <w:t>Закона о контрактной системе</w:t>
      </w:r>
      <w:r>
        <w:rPr>
          <w:rStyle w:val="a7"/>
          <w:rFonts w:eastAsia="Lucida Sans Unicode" w:cs="Times New Roman"/>
          <w:spacing w:val="1"/>
          <w:sz w:val="28"/>
          <w:szCs w:val="20"/>
          <w:shd w:val="clear" w:color="auto" w:fill="FFFFFF"/>
          <w:lang w:eastAsia="ru-RU" w:bidi="en-US"/>
        </w:rPr>
        <w:t>.</w:t>
      </w:r>
    </w:p>
    <w:p w:rsidR="00C24885" w:rsidRDefault="004918AB">
      <w:pPr>
        <w:pStyle w:val="Standard"/>
        <w:shd w:val="clear" w:color="auto" w:fill="FFFFFF"/>
        <w:tabs>
          <w:tab w:val="left" w:pos="692"/>
        </w:tabs>
        <w:autoSpaceDE w:val="0"/>
        <w:ind w:firstLine="716"/>
        <w:jc w:val="both"/>
      </w:pPr>
      <w:r>
        <w:rPr>
          <w:rStyle w:val="tendersubject1"/>
          <w:rFonts w:eastAsia="Arial CYR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  <w:lang w:eastAsia="ru-RU" w:bidi="en-US"/>
        </w:rPr>
        <w:t>Согласно протоколу рассмотрения единственной заявки на участие в электронном аукционе от 26.07.2019 №0373200082119000290-4</w:t>
      </w:r>
      <w:r>
        <w:rPr>
          <w:rStyle w:val="a7"/>
          <w:rFonts w:eastAsia="Lucida Sans Unicode" w:cs="Times New Roman"/>
          <w:spacing w:val="1"/>
          <w:sz w:val="28"/>
          <w:szCs w:val="28"/>
          <w:shd w:val="clear" w:color="auto" w:fill="FFFFFF"/>
          <w:lang w:eastAsia="ru-RU" w:bidi="en-US"/>
        </w:rPr>
        <w:t xml:space="preserve"> заявка</w:t>
      </w:r>
      <w:r>
        <w:rPr>
          <w:rStyle w:val="a7"/>
          <w:rFonts w:eastAsia="Lucida Sans Unicode" w:cs="Times New Roman"/>
          <w:spacing w:val="1"/>
          <w:sz w:val="28"/>
          <w:szCs w:val="28"/>
          <w:shd w:val="clear" w:color="auto" w:fill="FFFFFF"/>
          <w:lang w:eastAsia="ru-RU" w:bidi="en-US"/>
        </w:rPr>
        <w:br/>
      </w:r>
      <w:r>
        <w:rPr>
          <w:rStyle w:val="a7"/>
          <w:rFonts w:eastAsia="Times New Roman" w:cs="Times New Roman"/>
          <w:color w:val="000000"/>
          <w:spacing w:val="1"/>
          <w:sz w:val="28"/>
          <w:szCs w:val="28"/>
          <w:lang w:eastAsia="ru-RU" w:bidi="en-US"/>
        </w:rPr>
        <w:t>ООО «МСТ»</w:t>
      </w:r>
      <w:r>
        <w:rPr>
          <w:rStyle w:val="a7"/>
          <w:rFonts w:eastAsia="Lucida Sans Unicode" w:cs="Times New Roman"/>
          <w:spacing w:val="1"/>
          <w:sz w:val="28"/>
          <w:szCs w:val="28"/>
          <w:shd w:val="clear" w:color="auto" w:fill="FFFFFF"/>
          <w:lang w:eastAsia="ru-RU" w:bidi="en-US"/>
        </w:rPr>
        <w:t xml:space="preserve"> признана</w:t>
      </w:r>
      <w:r>
        <w:rPr>
          <w:rStyle w:val="a7"/>
          <w:rFonts w:eastAsia="Lucida Sans Unicode" w:cs="Times New Roman"/>
          <w:spacing w:val="1"/>
          <w:sz w:val="28"/>
          <w:szCs w:val="28"/>
          <w:shd w:val="clear" w:color="auto" w:fill="FFFFFF"/>
          <w:lang w:eastAsia="ru-RU" w:bidi="en-US"/>
        </w:rPr>
        <w:t xml:space="preserve"> соответствующей требованиям аукционной документации.</w:t>
      </w:r>
    </w:p>
    <w:p w:rsidR="00C24885" w:rsidRDefault="004918AB">
      <w:pPr>
        <w:pStyle w:val="Standard"/>
        <w:shd w:val="clear" w:color="auto" w:fill="FFFFFF"/>
        <w:tabs>
          <w:tab w:val="left" w:pos="692"/>
        </w:tabs>
        <w:autoSpaceDE w:val="0"/>
        <w:ind w:firstLine="716"/>
        <w:jc w:val="both"/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В силу ч.2 ст.83.2 Закона о контрактной системе в течение пяти дней с даты размещения в единой инфор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мационной системе указанного в ч. 8 ст. 69 Закона о контрактной системе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контракта, который состав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ляется путем включения в проект контракта, прилагаемый к документации или извещению о закупке, цены контракта, предложенной участником закупки, с которым заключается контракт, либо предложения о цене за право заключения контракта, информации о товаре (това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рном знаке и (или) конкретных показателях товара), информации, указанной в заявке, окончательном предложении участника электронной процедуры.</w:t>
      </w:r>
    </w:p>
    <w:p w:rsidR="00C24885" w:rsidRDefault="004918AB">
      <w:pPr>
        <w:pStyle w:val="Standard"/>
        <w:shd w:val="clear" w:color="auto" w:fill="FFFFFF"/>
        <w:tabs>
          <w:tab w:val="left" w:pos="692"/>
        </w:tabs>
        <w:autoSpaceDE w:val="0"/>
        <w:ind w:firstLine="716"/>
        <w:jc w:val="both"/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Комиссией Уп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 xml:space="preserve">равления установлено, что Заказчиком 30.07.2019 в срок, предусмотренный ч.2 ст.83.2 Закона о контрактной, размещен проект контракта 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lastRenderedPageBreak/>
        <w:t>в единой информационной системе и на электронной площадке.</w:t>
      </w:r>
    </w:p>
    <w:p w:rsidR="00C24885" w:rsidRDefault="004918AB">
      <w:pPr>
        <w:pStyle w:val="Standard"/>
        <w:shd w:val="clear" w:color="auto" w:fill="FFFFFF"/>
        <w:tabs>
          <w:tab w:val="left" w:pos="692"/>
        </w:tabs>
        <w:autoSpaceDE w:val="0"/>
        <w:ind w:firstLine="716"/>
        <w:jc w:val="both"/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Согласно ч.3 ст.83.2 Закона о контрактной системе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контракта, если данное требование установлено в извещении и (или) документации о закупке, либо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 xml:space="preserve"> размещает протокол разногласий, предусмотренный частью 4 ст.83.2 Закона о контрактной системе.</w:t>
      </w:r>
    </w:p>
    <w:p w:rsidR="00C24885" w:rsidRDefault="004918AB">
      <w:pPr>
        <w:pStyle w:val="Standard"/>
        <w:shd w:val="clear" w:color="auto" w:fill="FFFFFF"/>
        <w:tabs>
          <w:tab w:val="left" w:pos="692"/>
        </w:tabs>
        <w:autoSpaceDE w:val="0"/>
        <w:ind w:firstLine="716"/>
        <w:jc w:val="both"/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На основании ч.4 ст.96 Закона о контрактной системе контра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кт заключается после предоставления участником закупки, с которым заключается контракт, обеспечения исполнения контракта в соответствии с Законом о контрактной системе.</w:t>
      </w:r>
    </w:p>
    <w:p w:rsidR="00C24885" w:rsidRDefault="004918AB">
      <w:pPr>
        <w:pStyle w:val="Standard"/>
        <w:shd w:val="clear" w:color="auto" w:fill="FFFFFF"/>
        <w:tabs>
          <w:tab w:val="left" w:pos="692"/>
        </w:tabs>
        <w:autoSpaceDE w:val="0"/>
        <w:ind w:firstLine="716"/>
        <w:jc w:val="both"/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В силу ч.3 ст.96 Закона о контрактной системе исполнение контракта может обеспечиваться, в частности, предоставлением банковской гарантии, выданной банком и соответствующей требованиям ст.45 Закона о контрактной системы, при этом срок действ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ия банковской гарантии должен превышать срок действия контракта не менее чем на один месяц.</w:t>
      </w:r>
    </w:p>
    <w:p w:rsidR="00C24885" w:rsidRDefault="004918AB">
      <w:pPr>
        <w:pStyle w:val="Standard"/>
        <w:shd w:val="clear" w:color="auto" w:fill="FFFFFF"/>
        <w:tabs>
          <w:tab w:val="left" w:pos="692"/>
        </w:tabs>
        <w:autoSpaceDE w:val="0"/>
        <w:ind w:firstLine="716"/>
        <w:jc w:val="both"/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Ч.2 ст.45 Закона о контрактной системе установлен перечень инф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ормации, которая должна содержать банковская гарантия.</w:t>
      </w:r>
    </w:p>
    <w:p w:rsidR="00C24885" w:rsidRDefault="004918AB">
      <w:pPr>
        <w:pStyle w:val="Standard"/>
        <w:shd w:val="clear" w:color="auto" w:fill="FFFFFF"/>
        <w:tabs>
          <w:tab w:val="left" w:pos="692"/>
        </w:tabs>
        <w:autoSpaceDE w:val="0"/>
        <w:ind w:firstLine="716"/>
        <w:jc w:val="both"/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>В соответствии с ч.5 ст.96 Закона о контактной системе в случае непредставления участником закупки,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en-US" w:bidi="en-US"/>
        </w:rPr>
        <w:t xml:space="preserve">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C24885" w:rsidRDefault="004918AB">
      <w:pPr>
        <w:pStyle w:val="Standard"/>
        <w:shd w:val="clear" w:color="auto" w:fill="FFFFFF"/>
        <w:tabs>
          <w:tab w:val="left" w:pos="692"/>
        </w:tabs>
        <w:autoSpaceDE w:val="0"/>
        <w:ind w:firstLine="716"/>
        <w:jc w:val="both"/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ru-RU" w:bidi="en-US"/>
        </w:rPr>
        <w:t xml:space="preserve">Комиссией Управления установлено, что Заявителем 05.08.2019 в срок, предусмотренный ч.3 ст.83.2 Закона о контрактной системе, направлен в адрес Заказчика подписанный со своей стороны проект контракта и обеспечение исполнения 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eastAsia="ru-RU" w:bidi="en-US"/>
        </w:rPr>
        <w:t>контракта в виде банковской гарантии от 31.07.2019 №ЭГ-051949/19, выданной ООО «Экспобанк» (далее — Банковская гарантия).</w:t>
      </w:r>
    </w:p>
    <w:p w:rsidR="00C24885" w:rsidRDefault="004918AB">
      <w:pPr>
        <w:pStyle w:val="Standard"/>
        <w:autoSpaceDE w:val="0"/>
        <w:ind w:firstLine="716"/>
        <w:jc w:val="both"/>
      </w:pPr>
      <w:r>
        <w:rPr>
          <w:rStyle w:val="5"/>
          <w:rFonts w:eastAsia="Arial" w:cs="Arial"/>
          <w:color w:val="000000"/>
          <w:spacing w:val="2"/>
          <w:sz w:val="28"/>
          <w:szCs w:val="28"/>
          <w:lang w:eastAsia="en-US"/>
        </w:rPr>
        <w:t>На заседании Комиссии установлен</w:t>
      </w:r>
      <w:r>
        <w:rPr>
          <w:rStyle w:val="5"/>
          <w:rFonts w:eastAsia="Arial" w:cs="Arial"/>
          <w:color w:val="000000"/>
          <w:spacing w:val="2"/>
          <w:sz w:val="28"/>
          <w:szCs w:val="28"/>
          <w:lang w:eastAsia="en-US"/>
        </w:rPr>
        <w:t>о, что в Банковской гарантии определены в частности следующие положения:</w:t>
      </w:r>
    </w:p>
    <w:p w:rsidR="00C24885" w:rsidRDefault="004918AB">
      <w:pPr>
        <w:pStyle w:val="Standard"/>
        <w:numPr>
          <w:ilvl w:val="0"/>
          <w:numId w:val="5"/>
        </w:numPr>
        <w:autoSpaceDE w:val="0"/>
        <w:ind w:left="0" w:firstLine="716"/>
        <w:jc w:val="both"/>
      </w:pPr>
      <w:r>
        <w:rPr>
          <w:rStyle w:val="5"/>
          <w:rFonts w:eastAsia="Arial" w:cs="Arial"/>
          <w:color w:val="000000"/>
          <w:spacing w:val="2"/>
          <w:sz w:val="28"/>
          <w:szCs w:val="28"/>
          <w:lang w:eastAsia="en-US"/>
        </w:rPr>
        <w:t xml:space="preserve">п.2.7 «Ответственность Гаранта перед Бенефициаром за невыполнение или ненадлежащее выполнение обязательства по Гарантии ограничена суммой, на которую выдана Гарантия и суммой </w:t>
      </w:r>
      <w:r>
        <w:rPr>
          <w:rStyle w:val="5"/>
          <w:rFonts w:eastAsia="Arial" w:cs="Arial"/>
          <w:color w:val="000000"/>
          <w:spacing w:val="2"/>
          <w:sz w:val="28"/>
          <w:szCs w:val="28"/>
          <w:lang w:eastAsia="en-US"/>
        </w:rPr>
        <w:t>неустойки, предусмотренной настоящей Гарантией».</w:t>
      </w:r>
    </w:p>
    <w:p w:rsidR="00C24885" w:rsidRDefault="004918AB">
      <w:pPr>
        <w:pStyle w:val="Standard"/>
        <w:numPr>
          <w:ilvl w:val="0"/>
          <w:numId w:val="5"/>
        </w:numPr>
        <w:autoSpaceDE w:val="0"/>
        <w:ind w:left="0" w:firstLine="716"/>
        <w:jc w:val="both"/>
      </w:pPr>
      <w:r>
        <w:rPr>
          <w:rStyle w:val="5"/>
          <w:rFonts w:eastAsia="Arial" w:cs="Arial"/>
          <w:color w:val="000000"/>
          <w:spacing w:val="2"/>
          <w:sz w:val="28"/>
          <w:szCs w:val="28"/>
          <w:lang w:eastAsia="en-US"/>
        </w:rPr>
        <w:t>п.2.8 «В случае неисполнения Требования по гарантии в установленный срок Гарант обязуется уплатить неустойку Бенефициару в размере 0,1% (Ноль целых одной десятой процента) от суммы, подлежащей уплате за кажд</w:t>
      </w:r>
      <w:r>
        <w:rPr>
          <w:rStyle w:val="5"/>
          <w:rFonts w:eastAsia="Arial" w:cs="Arial"/>
          <w:color w:val="000000"/>
          <w:spacing w:val="2"/>
          <w:sz w:val="28"/>
          <w:szCs w:val="28"/>
          <w:lang w:eastAsia="en-US"/>
        </w:rPr>
        <w:t>ый день просрочки».</w:t>
      </w:r>
    </w:p>
    <w:p w:rsidR="00C24885" w:rsidRDefault="004918AB">
      <w:pPr>
        <w:pStyle w:val="Textbody"/>
        <w:autoSpaceDE w:val="0"/>
        <w:spacing w:after="0" w:line="200" w:lineRule="atLeast"/>
        <w:ind w:firstLine="698"/>
        <w:jc w:val="both"/>
      </w:pPr>
      <w:r>
        <w:rPr>
          <w:rStyle w:val="labelnoticename"/>
          <w:rFonts w:eastAsia="Arial" w:cs="Times New Roman"/>
          <w:color w:val="000000"/>
          <w:spacing w:val="6"/>
          <w:sz w:val="28"/>
          <w:szCs w:val="28"/>
        </w:rPr>
        <w:t>Согласно разъяснениям, изложенным в пункте 19 постановления Пленума Верховного Суда Российской Федерации № 13, Пленума Высшего Арбитражного Суда Российской Федерации № 14 от 08.10.1998 «О практике применения положений Гражданского кодек</w:t>
      </w:r>
      <w:r>
        <w:rPr>
          <w:rStyle w:val="labelnoticename"/>
          <w:rFonts w:eastAsia="Arial" w:cs="Times New Roman"/>
          <w:color w:val="000000"/>
          <w:spacing w:val="6"/>
          <w:sz w:val="28"/>
          <w:szCs w:val="28"/>
        </w:rPr>
        <w:t xml:space="preserve">са Российской Федерации о </w:t>
      </w:r>
      <w:r>
        <w:rPr>
          <w:rStyle w:val="labelnoticename"/>
          <w:rFonts w:eastAsia="Arial" w:cs="Times New Roman"/>
          <w:color w:val="000000"/>
          <w:spacing w:val="6"/>
          <w:sz w:val="28"/>
          <w:szCs w:val="28"/>
        </w:rPr>
        <w:lastRenderedPageBreak/>
        <w:t>процентах за пользование чужими денежными средствами», обязательство гаранта по банковской гарантии выплатить сумму бенефициару при соблюдении условий гарантии является денежным.</w:t>
      </w:r>
    </w:p>
    <w:p w:rsidR="00C24885" w:rsidRDefault="004918AB">
      <w:pPr>
        <w:pStyle w:val="Textbody"/>
        <w:autoSpaceDE w:val="0"/>
        <w:spacing w:after="0" w:line="200" w:lineRule="atLeast"/>
        <w:ind w:firstLine="698"/>
        <w:jc w:val="both"/>
      </w:pPr>
      <w:r>
        <w:rPr>
          <w:rStyle w:val="labelnoticename"/>
          <w:rFonts w:eastAsia="Arial" w:cs="Times New Roman"/>
          <w:color w:val="000000"/>
          <w:spacing w:val="6"/>
          <w:sz w:val="28"/>
          <w:szCs w:val="28"/>
        </w:rPr>
        <w:t xml:space="preserve">В соответствии с ч.2 ст.377 Гражданского кодекса Российской Федерации ответственность гаранта перед бенефициаром за невыполнение или ненадлежащее выполнение обязательства по гарантии не ограничена суммой, на </w:t>
      </w:r>
      <w:r>
        <w:rPr>
          <w:rStyle w:val="labelnoticename"/>
          <w:rFonts w:eastAsia="Arial" w:cs="Times New Roman"/>
          <w:color w:val="000000"/>
          <w:spacing w:val="6"/>
          <w:sz w:val="28"/>
          <w:szCs w:val="28"/>
        </w:rPr>
        <w:t>которую выдана гарантия, если в гарантии не предусмотрено иное.</w:t>
      </w:r>
    </w:p>
    <w:p w:rsidR="00C24885" w:rsidRDefault="004918AB">
      <w:pPr>
        <w:pStyle w:val="Textbody"/>
        <w:autoSpaceDE w:val="0"/>
        <w:spacing w:after="0" w:line="200" w:lineRule="atLeast"/>
        <w:ind w:firstLine="698"/>
        <w:jc w:val="both"/>
      </w:pPr>
      <w:r>
        <w:rPr>
          <w:rStyle w:val="labelnoticename"/>
          <w:rFonts w:eastAsia="Arial" w:cs="Times New Roman"/>
          <w:color w:val="000000"/>
          <w:spacing w:val="6"/>
          <w:sz w:val="28"/>
          <w:szCs w:val="28"/>
        </w:rPr>
        <w:t>Вместе с тем, в представленной Заявителем в качестве обеспечения исполнения контракта Банковск</w:t>
      </w:r>
      <w:r>
        <w:rPr>
          <w:rStyle w:val="labelnoticename"/>
          <w:rFonts w:eastAsia="Arial" w:cs="Times New Roman"/>
          <w:color w:val="000000"/>
          <w:spacing w:val="6"/>
          <w:sz w:val="28"/>
          <w:szCs w:val="28"/>
        </w:rPr>
        <w:t xml:space="preserve">ой гарантии установлено условие о выплате банком-гарантом бенефициару неустойки в размере 0,1 процента от суммы, подлежащей уплате за каждый календарный день просрочки, в случае нарушения им сроков выплат по гарантии. При этом из п.2.7 Банковской Гарантии </w:t>
      </w:r>
      <w:r>
        <w:rPr>
          <w:rStyle w:val="labelnoticename"/>
          <w:rFonts w:eastAsia="Arial" w:cs="Times New Roman"/>
          <w:color w:val="000000"/>
          <w:spacing w:val="6"/>
          <w:sz w:val="28"/>
          <w:szCs w:val="28"/>
        </w:rPr>
        <w:t>следует, что при возникновении наступления одновременно гарантийных обязательств, требующих выплаты всей суммы обеспечения и неустойки, гарантом будет соблюдено данное условие. То есть, бенефициар оставляет за собой право получения вышеуказанной неустойки.</w:t>
      </w:r>
    </w:p>
    <w:p w:rsidR="00C24885" w:rsidRDefault="004918AB">
      <w:pPr>
        <w:pStyle w:val="Textbody"/>
        <w:autoSpaceDE w:val="0"/>
        <w:spacing w:after="0" w:line="200" w:lineRule="atLeast"/>
        <w:ind w:firstLine="698"/>
        <w:jc w:val="both"/>
      </w:pPr>
      <w:r>
        <w:rPr>
          <w:rStyle w:val="labelnoticename"/>
          <w:rFonts w:eastAsia="Arial" w:cs="Times New Roman"/>
          <w:color w:val="000000"/>
          <w:spacing w:val="6"/>
          <w:sz w:val="28"/>
          <w:szCs w:val="28"/>
        </w:rPr>
        <w:t>Таким образом, положения Банковской гарантии, представленной Заявителем в качестве обеспечения исполнения контракта не нарушают положения  Гражданского кодек</w:t>
      </w:r>
      <w:r>
        <w:rPr>
          <w:rStyle w:val="labelnoticename"/>
          <w:rFonts w:eastAsia="Arial" w:cs="Times New Roman"/>
          <w:color w:val="000000"/>
          <w:spacing w:val="6"/>
          <w:sz w:val="28"/>
          <w:szCs w:val="28"/>
        </w:rPr>
        <w:t>са Российской Федерации и Закона о контрактной системе и не ограничивают ответственность Гаранта суммой, на которую выдана гарантия, поскольку прямо предусматривают увеличение размера ответственности на размер неустойки, что не противоречит требованиям аук</w:t>
      </w:r>
      <w:r>
        <w:rPr>
          <w:rStyle w:val="labelnoticename"/>
          <w:rFonts w:eastAsia="Arial" w:cs="Times New Roman"/>
          <w:color w:val="000000"/>
          <w:spacing w:val="6"/>
          <w:sz w:val="28"/>
          <w:szCs w:val="28"/>
        </w:rPr>
        <w:t>ционной документации и законодательству об осуществлении закупок, поскольку фактически Заказчик не лишен права на получение неустойки, предусмотренной п.3 ч.2 ст.45 Закона о контрактной системе в случае, если такая неустойка в совокупности с иными выплатам</w:t>
      </w:r>
      <w:r>
        <w:rPr>
          <w:rStyle w:val="labelnoticename"/>
          <w:rFonts w:eastAsia="Arial" w:cs="Times New Roman"/>
          <w:color w:val="000000"/>
          <w:spacing w:val="6"/>
          <w:sz w:val="28"/>
          <w:szCs w:val="28"/>
        </w:rPr>
        <w:t>и превысит сумму, на которую выдана гарантия.</w:t>
      </w:r>
    </w:p>
    <w:p w:rsidR="00C24885" w:rsidRDefault="004918AB">
      <w:pPr>
        <w:pStyle w:val="Standard"/>
        <w:spacing w:line="100" w:lineRule="atLeast"/>
        <w:ind w:firstLine="716"/>
        <w:jc w:val="both"/>
      </w:pPr>
      <w:r>
        <w:rPr>
          <w:rFonts w:eastAsia="Arial" w:cs="Arial"/>
          <w:color w:val="000000"/>
          <w:sz w:val="28"/>
          <w:szCs w:val="28"/>
        </w:rPr>
        <w:t>Согласно ч. 6 ст. 45 Закона о конт</w:t>
      </w:r>
      <w:r>
        <w:rPr>
          <w:sz w:val="28"/>
          <w:szCs w:val="28"/>
        </w:rPr>
        <w:t xml:space="preserve">рактной системе </w:t>
      </w:r>
      <w:r>
        <w:rPr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снованием для отказа в принятии банковской гарантии заказчик</w:t>
      </w:r>
      <w:r>
        <w:rPr>
          <w:rFonts w:eastAsia="Times New Roman"/>
          <w:color w:val="000000"/>
          <w:sz w:val="28"/>
          <w:szCs w:val="28"/>
          <w:lang w:eastAsia="ru-RU"/>
        </w:rPr>
        <w:t>ом является:</w:t>
      </w:r>
    </w:p>
    <w:p w:rsidR="00C24885" w:rsidRDefault="004918AB">
      <w:pPr>
        <w:pStyle w:val="Standard"/>
        <w:spacing w:line="100" w:lineRule="atLeast"/>
        <w:ind w:firstLine="716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информации о банковской гарантии в реестре банковских гарантий;</w:t>
      </w:r>
    </w:p>
    <w:p w:rsidR="00C24885" w:rsidRDefault="004918AB">
      <w:pPr>
        <w:pStyle w:val="Standard"/>
        <w:spacing w:line="100" w:lineRule="atLeast"/>
        <w:ind w:firstLine="716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2) несоответствие банковской гарантии условиям, указанным в ч.2 и 3</w:t>
      </w:r>
      <w:r>
        <w:rPr>
          <w:rFonts w:eastAsia="Times New Roman"/>
          <w:color w:val="000000"/>
          <w:sz w:val="28"/>
          <w:szCs w:val="28"/>
          <w:lang w:eastAsia="ru-RU"/>
        </w:rPr>
        <w:br/>
      </w:r>
      <w:r>
        <w:rPr>
          <w:rFonts w:eastAsia="Times New Roman"/>
          <w:color w:val="000000"/>
          <w:sz w:val="28"/>
          <w:szCs w:val="28"/>
          <w:lang w:eastAsia="ru-RU"/>
        </w:rPr>
        <w:t>ст. 45 Закона о контрактной системе;</w:t>
      </w:r>
    </w:p>
    <w:p w:rsidR="00C24885" w:rsidRDefault="004918AB">
      <w:pPr>
        <w:pStyle w:val="Standard"/>
        <w:autoSpaceDE w:val="0"/>
        <w:spacing w:line="100" w:lineRule="atLeast"/>
        <w:ind w:firstLine="716"/>
        <w:jc w:val="both"/>
        <w:rPr>
          <w:sz w:val="28"/>
          <w:szCs w:val="28"/>
        </w:rPr>
      </w:pPr>
      <w:r>
        <w:rPr>
          <w:rStyle w:val="5"/>
          <w:rFonts w:eastAsia="Calibri" w:cs="Times-Bold"/>
          <w:color w:val="000000"/>
          <w:spacing w:val="2"/>
          <w:lang w:eastAsia="en-US"/>
        </w:rPr>
        <w:t>3) несоответствие банковской гарантии требованиям, содержащи</w:t>
      </w:r>
      <w:r>
        <w:rPr>
          <w:rStyle w:val="5"/>
          <w:rFonts w:eastAsia="Calibri" w:cs="Times-Bold"/>
          <w:color w:val="000000"/>
          <w:spacing w:val="2"/>
          <w:lang w:eastAsia="en-US"/>
        </w:rPr>
        <w:t>мся в извещении об осуществлении закупки, приглашении принять участие в определении поставщика (подрядчика, исполнителя), документации о закупке, проекте контракта, который заключается с единственным поставщиком (подрядчиком, исполнителем).</w:t>
      </w:r>
    </w:p>
    <w:p w:rsidR="00C24885" w:rsidRDefault="004918AB">
      <w:pPr>
        <w:pStyle w:val="Standard"/>
        <w:tabs>
          <w:tab w:val="left" w:pos="692"/>
        </w:tabs>
        <w:autoSpaceDE w:val="0"/>
        <w:ind w:firstLine="716"/>
        <w:jc w:val="both"/>
      </w:pPr>
      <w:r>
        <w:rPr>
          <w:rStyle w:val="a7"/>
          <w:rFonts w:eastAsia="Arial" w:cs="Arial"/>
          <w:color w:val="000000"/>
          <w:spacing w:val="-1"/>
          <w:sz w:val="28"/>
          <w:szCs w:val="28"/>
          <w:lang w:eastAsia="en-US"/>
        </w:rPr>
        <w:t xml:space="preserve">Таким образом, </w:t>
      </w:r>
      <w:r>
        <w:rPr>
          <w:rStyle w:val="a7"/>
          <w:rFonts w:eastAsia="Arial" w:cs="Arial"/>
          <w:color w:val="000000"/>
          <w:spacing w:val="-1"/>
          <w:sz w:val="28"/>
          <w:szCs w:val="28"/>
          <w:lang w:eastAsia="en-US"/>
        </w:rPr>
        <w:t xml:space="preserve">Комиссия Управления приходит к выводу о нарушении Заказчиком ч.6 ст.45 </w:t>
      </w:r>
      <w:r>
        <w:rPr>
          <w:rStyle w:val="a7"/>
          <w:rFonts w:eastAsia="Times New Roman" w:cs="Arial"/>
          <w:color w:val="000000"/>
          <w:spacing w:val="-1"/>
          <w:sz w:val="28"/>
          <w:szCs w:val="28"/>
          <w:lang w:eastAsia="ru-RU"/>
        </w:rPr>
        <w:t>Закона о контрактной системе</w:t>
      </w:r>
      <w:r>
        <w:rPr>
          <w:rStyle w:val="a7"/>
          <w:rFonts w:eastAsia="Arial" w:cs="Arial"/>
          <w:color w:val="000000"/>
          <w:spacing w:val="-1"/>
          <w:sz w:val="28"/>
          <w:szCs w:val="28"/>
          <w:lang w:eastAsia="en-US"/>
        </w:rPr>
        <w:t xml:space="preserve"> при принятии Заказчиком решения об отказе от заключения контракта по указанным в протоколе основаниям.</w:t>
      </w:r>
    </w:p>
    <w:p w:rsidR="00C24885" w:rsidRDefault="004918AB">
      <w:pPr>
        <w:pStyle w:val="Standard"/>
        <w:tabs>
          <w:tab w:val="left" w:pos="692"/>
        </w:tabs>
        <w:autoSpaceDE w:val="0"/>
        <w:ind w:firstLine="716"/>
        <w:jc w:val="both"/>
      </w:pPr>
      <w:r>
        <w:rPr>
          <w:rFonts w:eastAsia="Times New Roman" w:cs="Times New Roman"/>
          <w:sz w:val="28"/>
          <w:szCs w:val="28"/>
          <w:shd w:val="clear" w:color="auto" w:fill="FFFFFF"/>
        </w:rPr>
        <w:t>Исследова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в представленные материалы, руководствуясь </w:t>
      </w:r>
      <w:r>
        <w:rPr>
          <w:rFonts w:eastAsia="Times New Roman" w:cs="Times New Roman"/>
          <w:sz w:val="28"/>
          <w:szCs w:val="28"/>
          <w:shd w:val="clear" w:color="auto" w:fill="FFFFFF"/>
        </w:rPr>
        <w:t>А</w:t>
      </w:r>
      <w:r>
        <w:rPr>
          <w:rFonts w:eastAsia="Times New Roman" w:cs="Times New Roman"/>
          <w:sz w:val="28"/>
          <w:szCs w:val="28"/>
          <w:shd w:val="clear" w:color="auto" w:fill="FFFFFF"/>
        </w:rPr>
        <w:t>дминистративным регламентом,  Законом о контрактной системе, Комиссия Управления</w:t>
      </w:r>
    </w:p>
    <w:p w:rsidR="00C24885" w:rsidRDefault="004918AB">
      <w:pPr>
        <w:pStyle w:val="Standard"/>
        <w:ind w:left="-360" w:firstLine="360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 Е Ш И Л А:</w:t>
      </w:r>
    </w:p>
    <w:p w:rsidR="00C24885" w:rsidRDefault="00C24885">
      <w:pPr>
        <w:pStyle w:val="Standard"/>
        <w:ind w:left="-360" w:firstLine="360"/>
        <w:jc w:val="center"/>
        <w:rPr>
          <w:rFonts w:eastAsia="Times New Roman" w:cs="Times New Roman"/>
          <w:color w:val="000000"/>
          <w:sz w:val="28"/>
        </w:rPr>
      </w:pPr>
    </w:p>
    <w:p w:rsidR="00C24885" w:rsidRDefault="004918AB">
      <w:pPr>
        <w:pStyle w:val="Standard"/>
        <w:numPr>
          <w:ilvl w:val="2"/>
          <w:numId w:val="6"/>
        </w:numPr>
        <w:tabs>
          <w:tab w:val="left" w:pos="1065"/>
        </w:tabs>
        <w:ind w:left="0" w:firstLine="703"/>
        <w:jc w:val="both"/>
      </w:pPr>
      <w:r>
        <w:rPr>
          <w:rFonts w:eastAsia="Times New Roman" w:cs="Times New Roman"/>
          <w:color w:val="000000"/>
          <w:sz w:val="28"/>
        </w:rPr>
        <w:t xml:space="preserve">Признать жалобу </w:t>
      </w:r>
      <w:r>
        <w:rPr>
          <w:rFonts w:eastAsia="Times New Roman" w:cs="Times New Roman"/>
          <w:color w:val="000000"/>
          <w:sz w:val="28"/>
          <w:szCs w:val="28"/>
        </w:rPr>
        <w:t>ООО «МСТ»</w:t>
      </w:r>
      <w:r>
        <w:rPr>
          <w:rFonts w:eastAsia="Times New Roman" w:cs="Times New Roman"/>
          <w:color w:val="000000"/>
          <w:sz w:val="28"/>
          <w:shd w:val="clear" w:color="auto" w:fill="FFFFFF"/>
        </w:rPr>
        <w:t xml:space="preserve"> на действия </w:t>
      </w:r>
      <w:r>
        <w:rPr>
          <w:rFonts w:eastAsia="Times New Roman" w:cs="Times New Roman"/>
          <w:color w:val="000000"/>
          <w:sz w:val="28"/>
          <w:szCs w:val="28"/>
        </w:rPr>
        <w:t>ГУП «Московский метрополитен»</w:t>
      </w:r>
      <w:r>
        <w:rPr>
          <w:rFonts w:eastAsia="Times New Roman" w:cs="Times New Roman"/>
          <w:color w:val="000000"/>
          <w:sz w:val="28"/>
        </w:rPr>
        <w:t xml:space="preserve"> обоснованной</w:t>
      </w:r>
      <w:r>
        <w:rPr>
          <w:rFonts w:eastAsia="Times New Roman" w:cs="Times New Roman"/>
          <w:color w:val="000000"/>
          <w:sz w:val="28"/>
        </w:rPr>
        <w:t>.</w:t>
      </w:r>
    </w:p>
    <w:p w:rsidR="00C24885" w:rsidRDefault="004918AB">
      <w:pPr>
        <w:pStyle w:val="Standard"/>
        <w:numPr>
          <w:ilvl w:val="2"/>
          <w:numId w:val="6"/>
        </w:numPr>
        <w:tabs>
          <w:tab w:val="left" w:pos="1065"/>
        </w:tabs>
        <w:ind w:left="0" w:firstLine="703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Признать в действиях Заказчика нарушение положений ч.6 ст.45 Закона о контрактной системе.</w:t>
      </w:r>
    </w:p>
    <w:p w:rsidR="00C24885" w:rsidRDefault="004918AB">
      <w:pPr>
        <w:pStyle w:val="Standard"/>
        <w:numPr>
          <w:ilvl w:val="2"/>
          <w:numId w:val="6"/>
        </w:numPr>
        <w:tabs>
          <w:tab w:val="left" w:pos="1065"/>
        </w:tabs>
        <w:ind w:left="0" w:firstLine="703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en-US"/>
        </w:rPr>
        <w:t>Выдать заказчику обязательное для исполнения предписание об устранении нарушений законодательства об осущес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en-US"/>
        </w:rPr>
        <w:t>твлении закупок.</w:t>
      </w:r>
    </w:p>
    <w:p w:rsidR="00C24885" w:rsidRDefault="00C24885">
      <w:pPr>
        <w:pStyle w:val="Standard"/>
        <w:ind w:firstLine="703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24885" w:rsidRDefault="004918AB">
      <w:pPr>
        <w:pStyle w:val="Standard"/>
        <w:ind w:firstLine="703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Решение может быть обжаловано в судебном порядке в Арбитражном суде г.Москвы в течение 3  (трех) месяцев с даты его принятия в порядке,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установленном гл. 24 АПК РФ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</w:p>
    <w:p w:rsidR="00C24885" w:rsidRDefault="00C24885">
      <w:pPr>
        <w:pStyle w:val="Standard"/>
        <w:ind w:firstLine="15"/>
        <w:jc w:val="both"/>
        <w:rPr>
          <w:rFonts w:eastAsia="Calibri" w:cs="Calibri"/>
          <w:sz w:val="28"/>
          <w:szCs w:val="28"/>
        </w:rPr>
      </w:pPr>
    </w:p>
    <w:p w:rsidR="00C24885" w:rsidRDefault="004918AB">
      <w:pPr>
        <w:pStyle w:val="Standard"/>
        <w:numPr>
          <w:ilvl w:val="0"/>
          <w:numId w:val="7"/>
        </w:numPr>
        <w:rPr>
          <w:color w:val="000000"/>
          <w:spacing w:val="1"/>
          <w:sz w:val="16"/>
          <w:szCs w:val="16"/>
        </w:rPr>
      </w:pP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 xml:space="preserve">Заместитель председателя Комиссии  </w:t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 xml:space="preserve">          Л.Н. Харченко</w:t>
      </w:r>
    </w:p>
    <w:p w:rsidR="00C24885" w:rsidRDefault="00C24885">
      <w:pPr>
        <w:pStyle w:val="Standard"/>
        <w:numPr>
          <w:ilvl w:val="0"/>
          <w:numId w:val="2"/>
        </w:numPr>
        <w:rPr>
          <w:color w:val="000000"/>
          <w:spacing w:val="1"/>
          <w:sz w:val="16"/>
          <w:szCs w:val="16"/>
        </w:rPr>
      </w:pPr>
    </w:p>
    <w:p w:rsidR="00C24885" w:rsidRDefault="004918AB">
      <w:pPr>
        <w:pStyle w:val="Standard"/>
        <w:numPr>
          <w:ilvl w:val="0"/>
          <w:numId w:val="2"/>
        </w:numPr>
        <w:rPr>
          <w:color w:val="000000"/>
          <w:spacing w:val="1"/>
          <w:sz w:val="16"/>
          <w:szCs w:val="16"/>
        </w:rPr>
      </w:pP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 xml:space="preserve">Члены комиссии:                                                         </w:t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  <w:t xml:space="preserve">                    В.А. Копысова</w:t>
      </w:r>
    </w:p>
    <w:p w:rsidR="00C24885" w:rsidRDefault="00C24885">
      <w:pPr>
        <w:pStyle w:val="Standard"/>
        <w:numPr>
          <w:ilvl w:val="0"/>
          <w:numId w:val="2"/>
        </w:numPr>
        <w:rPr>
          <w:color w:val="000000"/>
          <w:spacing w:val="1"/>
          <w:sz w:val="16"/>
          <w:szCs w:val="16"/>
        </w:rPr>
      </w:pPr>
    </w:p>
    <w:p w:rsidR="00C24885" w:rsidRDefault="004918AB">
      <w:pPr>
        <w:pStyle w:val="Standard"/>
        <w:numPr>
          <w:ilvl w:val="0"/>
          <w:numId w:val="2"/>
        </w:numPr>
        <w:jc w:val="both"/>
        <w:rPr>
          <w:color w:val="000000"/>
          <w:spacing w:val="1"/>
          <w:sz w:val="16"/>
          <w:szCs w:val="16"/>
        </w:rPr>
      </w:pP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</w:r>
      <w:r>
        <w:rPr>
          <w:rStyle w:val="tendersubject1"/>
          <w:rFonts w:eastAsia="Arial" w:cs="Times New Roman"/>
          <w:b w:val="0"/>
          <w:bCs w:val="0"/>
          <w:color w:val="000000"/>
          <w:sz w:val="28"/>
          <w:szCs w:val="28"/>
          <w:lang w:eastAsia="en-US" w:bidi="en-US"/>
        </w:rPr>
        <w:tab/>
        <w:t xml:space="preserve">              Д.А. Аносов</w:t>
      </w:r>
    </w:p>
    <w:p w:rsidR="00C24885" w:rsidRDefault="00C24885">
      <w:pPr>
        <w:pStyle w:val="Standard"/>
        <w:numPr>
          <w:ilvl w:val="0"/>
          <w:numId w:val="2"/>
        </w:numPr>
        <w:shd w:val="clear" w:color="auto" w:fill="FFFFFF"/>
        <w:tabs>
          <w:tab w:val="left" w:pos="1020"/>
          <w:tab w:val="center" w:pos="5215"/>
        </w:tabs>
        <w:spacing w:line="102" w:lineRule="atLeast"/>
      </w:pPr>
    </w:p>
    <w:p w:rsidR="00C24885" w:rsidRDefault="00C24885">
      <w:pPr>
        <w:pStyle w:val="Standard"/>
        <w:numPr>
          <w:ilvl w:val="0"/>
          <w:numId w:val="2"/>
        </w:numPr>
        <w:shd w:val="clear" w:color="auto" w:fill="FFFFFF"/>
        <w:tabs>
          <w:tab w:val="left" w:pos="1020"/>
          <w:tab w:val="center" w:pos="5215"/>
        </w:tabs>
        <w:spacing w:line="102" w:lineRule="atLeast"/>
      </w:pPr>
    </w:p>
    <w:p w:rsidR="00C24885" w:rsidRDefault="00C24885">
      <w:pPr>
        <w:pStyle w:val="Standard"/>
        <w:numPr>
          <w:ilvl w:val="0"/>
          <w:numId w:val="2"/>
        </w:numPr>
        <w:shd w:val="clear" w:color="auto" w:fill="FFFFFF"/>
        <w:tabs>
          <w:tab w:val="left" w:pos="1020"/>
          <w:tab w:val="center" w:pos="5215"/>
        </w:tabs>
        <w:spacing w:line="102" w:lineRule="atLeast"/>
      </w:pPr>
    </w:p>
    <w:p w:rsidR="00C24885" w:rsidRDefault="00C24885">
      <w:pPr>
        <w:pStyle w:val="Standard"/>
        <w:numPr>
          <w:ilvl w:val="0"/>
          <w:numId w:val="2"/>
        </w:numPr>
        <w:shd w:val="clear" w:color="auto" w:fill="FFFFFF"/>
        <w:tabs>
          <w:tab w:val="left" w:pos="1020"/>
          <w:tab w:val="center" w:pos="5215"/>
        </w:tabs>
        <w:spacing w:line="102" w:lineRule="atLeast"/>
      </w:pPr>
    </w:p>
    <w:p w:rsidR="00C24885" w:rsidRDefault="00C24885">
      <w:pPr>
        <w:pStyle w:val="Standard"/>
        <w:shd w:val="clear" w:color="auto" w:fill="FFFFFF"/>
        <w:tabs>
          <w:tab w:val="left" w:pos="1020"/>
          <w:tab w:val="center" w:pos="5215"/>
        </w:tabs>
        <w:spacing w:line="102" w:lineRule="atLeast"/>
      </w:pPr>
    </w:p>
    <w:p w:rsidR="00C24885" w:rsidRDefault="00C24885">
      <w:pPr>
        <w:pStyle w:val="Standard"/>
        <w:shd w:val="clear" w:color="auto" w:fill="FFFFFF"/>
        <w:tabs>
          <w:tab w:val="left" w:pos="1020"/>
          <w:tab w:val="center" w:pos="5215"/>
        </w:tabs>
        <w:spacing w:line="102" w:lineRule="atLeast"/>
      </w:pPr>
    </w:p>
    <w:p w:rsidR="00C24885" w:rsidRDefault="00C24885">
      <w:pPr>
        <w:pStyle w:val="Standard"/>
        <w:shd w:val="clear" w:color="auto" w:fill="FFFFFF"/>
        <w:tabs>
          <w:tab w:val="left" w:pos="1020"/>
          <w:tab w:val="center" w:pos="5215"/>
        </w:tabs>
        <w:spacing w:line="102" w:lineRule="atLeast"/>
      </w:pPr>
    </w:p>
    <w:p w:rsidR="00C24885" w:rsidRDefault="00C24885">
      <w:pPr>
        <w:pStyle w:val="Standard"/>
        <w:shd w:val="clear" w:color="auto" w:fill="FFFFFF"/>
        <w:tabs>
          <w:tab w:val="left" w:pos="1020"/>
          <w:tab w:val="center" w:pos="5215"/>
        </w:tabs>
        <w:spacing w:line="102" w:lineRule="atLeast"/>
      </w:pPr>
    </w:p>
    <w:p w:rsidR="00C24885" w:rsidRDefault="00C24885">
      <w:pPr>
        <w:pStyle w:val="Standard"/>
        <w:shd w:val="clear" w:color="auto" w:fill="FFFFFF"/>
        <w:tabs>
          <w:tab w:val="left" w:pos="1020"/>
          <w:tab w:val="center" w:pos="5215"/>
        </w:tabs>
        <w:spacing w:line="102" w:lineRule="atLeast"/>
      </w:pPr>
    </w:p>
    <w:p w:rsidR="00C24885" w:rsidRDefault="00C24885">
      <w:pPr>
        <w:pStyle w:val="Standard"/>
        <w:shd w:val="clear" w:color="auto" w:fill="FFFFFF"/>
        <w:tabs>
          <w:tab w:val="left" w:pos="1020"/>
          <w:tab w:val="center" w:pos="5215"/>
        </w:tabs>
        <w:spacing w:line="102" w:lineRule="atLeast"/>
      </w:pPr>
    </w:p>
    <w:p w:rsidR="00C24885" w:rsidRDefault="00C24885">
      <w:pPr>
        <w:pStyle w:val="Standard"/>
        <w:shd w:val="clear" w:color="auto" w:fill="FFFFFF"/>
        <w:tabs>
          <w:tab w:val="left" w:pos="1020"/>
          <w:tab w:val="center" w:pos="5215"/>
        </w:tabs>
        <w:spacing w:line="102" w:lineRule="atLeast"/>
      </w:pPr>
    </w:p>
    <w:p w:rsidR="00C24885" w:rsidRDefault="00C24885">
      <w:pPr>
        <w:pStyle w:val="Standard"/>
        <w:shd w:val="clear" w:color="auto" w:fill="FFFFFF"/>
        <w:tabs>
          <w:tab w:val="left" w:pos="1020"/>
          <w:tab w:val="center" w:pos="5215"/>
        </w:tabs>
        <w:spacing w:line="102" w:lineRule="atLeast"/>
      </w:pPr>
    </w:p>
    <w:p w:rsidR="00C24885" w:rsidRDefault="00C24885">
      <w:pPr>
        <w:pStyle w:val="Standard"/>
        <w:numPr>
          <w:ilvl w:val="0"/>
          <w:numId w:val="2"/>
        </w:numPr>
        <w:shd w:val="clear" w:color="auto" w:fill="FFFFFF"/>
        <w:tabs>
          <w:tab w:val="left" w:pos="1020"/>
          <w:tab w:val="center" w:pos="5215"/>
        </w:tabs>
        <w:spacing w:line="102" w:lineRule="atLeast"/>
      </w:pPr>
    </w:p>
    <w:p w:rsidR="00C24885" w:rsidRDefault="00C24885">
      <w:pPr>
        <w:pStyle w:val="Standard"/>
        <w:numPr>
          <w:ilvl w:val="0"/>
          <w:numId w:val="2"/>
        </w:numPr>
        <w:shd w:val="clear" w:color="auto" w:fill="FFFFFF"/>
        <w:tabs>
          <w:tab w:val="left" w:pos="1020"/>
          <w:tab w:val="center" w:pos="5215"/>
        </w:tabs>
        <w:spacing w:line="102" w:lineRule="atLeast"/>
      </w:pPr>
    </w:p>
    <w:p w:rsidR="00C24885" w:rsidRDefault="004918AB">
      <w:pPr>
        <w:pStyle w:val="Standard"/>
        <w:numPr>
          <w:ilvl w:val="0"/>
          <w:numId w:val="2"/>
        </w:numPr>
        <w:shd w:val="clear" w:color="auto" w:fill="FFFFFF"/>
        <w:tabs>
          <w:tab w:val="left" w:pos="1020"/>
          <w:tab w:val="center" w:pos="5215"/>
        </w:tabs>
        <w:spacing w:line="102" w:lineRule="atLeast"/>
      </w:pPr>
      <w:r>
        <w:rPr>
          <w:rStyle w:val="tendersubject1"/>
          <w:rFonts w:eastAsia="Times New Roman CYR" w:cs="Times New Roman CYR"/>
          <w:b w:val="0"/>
          <w:color w:val="auto"/>
          <w:spacing w:val="1"/>
          <w:shd w:val="clear" w:color="auto" w:fill="FFFFFF"/>
          <w:lang w:eastAsia="en-US" w:bidi="en-US"/>
        </w:rPr>
        <w:t>Исп. Аносов Д.А. 495-784-75-05 (доб. 077-124)</w:t>
      </w:r>
    </w:p>
    <w:sectPr w:rsidR="00C24885">
      <w:headerReference w:type="default" r:id="rId7"/>
      <w:pgSz w:w="11906" w:h="16838"/>
      <w:pgMar w:top="1134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AB" w:rsidRDefault="004918AB">
      <w:r>
        <w:separator/>
      </w:r>
    </w:p>
  </w:endnote>
  <w:endnote w:type="continuationSeparator" w:id="0">
    <w:p w:rsidR="004918AB" w:rsidRDefault="0049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00"/>
    <w:family w:val="roman"/>
    <w:pitch w:val="variable"/>
  </w:font>
  <w:font w:name="Times-Roman, 'Times New Roman'">
    <w:charset w:val="00"/>
    <w:family w:val="roman"/>
    <w:pitch w:val="default"/>
  </w:font>
  <w:font w:name="Arial CYR"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Bold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AB" w:rsidRDefault="004918AB">
      <w:r>
        <w:rPr>
          <w:color w:val="000000"/>
        </w:rPr>
        <w:separator/>
      </w:r>
    </w:p>
  </w:footnote>
  <w:footnote w:type="continuationSeparator" w:id="0">
    <w:p w:rsidR="004918AB" w:rsidRDefault="0049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86" w:rsidRDefault="004918A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852B4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5368"/>
    <w:multiLevelType w:val="multilevel"/>
    <w:tmpl w:val="12C08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61C60D2"/>
    <w:multiLevelType w:val="multilevel"/>
    <w:tmpl w:val="568A5D0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7194787"/>
    <w:multiLevelType w:val="multilevel"/>
    <w:tmpl w:val="801641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54D0E32"/>
    <w:multiLevelType w:val="multilevel"/>
    <w:tmpl w:val="6D64321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24885"/>
    <w:rsid w:val="004918AB"/>
    <w:rsid w:val="00852B4B"/>
    <w:rsid w:val="00C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57FC5-3B10-43E1-A89E-2D466911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21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Standarduser">
    <w:name w:val="Standard (user)"/>
    <w:rPr>
      <w:rFonts w:eastAsia="Arial Unicode MS" w:cs="Arial"/>
      <w:sz w:val="28"/>
      <w:lang w:bidi="ar-SA"/>
    </w:rPr>
  </w:style>
  <w:style w:type="paragraph" w:customStyle="1" w:styleId="ConsPlusNormal">
    <w:name w:val="ConsPlusNormal"/>
    <w:pPr>
      <w:widowControl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Textbodyuser">
    <w:name w:val="Text body (user)"/>
    <w:basedOn w:val="Standarduser"/>
    <w:pPr>
      <w:spacing w:after="120" w:line="170" w:lineRule="atLeast"/>
    </w:p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ndersubject1">
    <w:name w:val="tendersubject1"/>
    <w:rPr>
      <w:b/>
      <w:bCs/>
      <w:color w:val="0000FF"/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7">
    <w:name w:val="Основной текст Знак"/>
    <w:basedOn w:val="1"/>
    <w:rPr>
      <w:sz w:val="24"/>
      <w:lang w:val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abelnoticename">
    <w:name w:val="label_noticename"/>
    <w:basedOn w:val="1"/>
  </w:style>
  <w:style w:type="character" w:customStyle="1" w:styleId="5">
    <w:name w:val="Основной шрифт абзаца5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2019-05-28T17:36:00Z</cp:lastPrinted>
  <dcterms:created xsi:type="dcterms:W3CDTF">2020-01-28T09:13:00Z</dcterms:created>
  <dcterms:modified xsi:type="dcterms:W3CDTF">2020-01-28T09:13:00Z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