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09" w:rsidRPr="008B2756" w:rsidRDefault="00A84009" w:rsidP="00193D8D">
      <w:pPr>
        <w:spacing w:after="0" w:line="240" w:lineRule="auto"/>
        <w:ind w:left="-567"/>
        <w:jc w:val="center"/>
        <w:outlineLvl w:val="1"/>
        <w:rPr>
          <w:rFonts w:ascii="Times New Roman" w:hAnsi="Times New Roman" w:cs="Times New Roman"/>
          <w:b/>
          <w:bCs/>
          <w:kern w:val="36"/>
          <w:sz w:val="24"/>
          <w:szCs w:val="24"/>
        </w:rPr>
      </w:pPr>
      <w:bookmarkStart w:id="0" w:name="_GoBack"/>
      <w:bookmarkEnd w:id="0"/>
      <w:r w:rsidRPr="008B2756">
        <w:rPr>
          <w:rFonts w:ascii="Times New Roman" w:hAnsi="Times New Roman" w:cs="Times New Roman"/>
          <w:b/>
          <w:bCs/>
          <w:kern w:val="36"/>
          <w:sz w:val="24"/>
          <w:szCs w:val="24"/>
        </w:rPr>
        <w:t>П</w:t>
      </w:r>
      <w:r>
        <w:rPr>
          <w:rFonts w:ascii="Times New Roman" w:hAnsi="Times New Roman" w:cs="Times New Roman"/>
          <w:b/>
          <w:bCs/>
          <w:kern w:val="36"/>
          <w:sz w:val="24"/>
          <w:szCs w:val="24"/>
        </w:rPr>
        <w:t>ротокол рассмотрения заявок на участие в электронном аукционе</w:t>
      </w:r>
      <w:r w:rsidRPr="008B2756">
        <w:rPr>
          <w:rFonts w:ascii="Times New Roman" w:hAnsi="Times New Roman" w:cs="Times New Roman"/>
          <w:b/>
          <w:bCs/>
          <w:kern w:val="36"/>
          <w:sz w:val="24"/>
          <w:szCs w:val="24"/>
        </w:rPr>
        <w:t xml:space="preserve"> № </w:t>
      </w:r>
      <w:r w:rsidR="008D5D89" w:rsidRPr="008B2756">
        <w:rPr>
          <w:rFonts w:ascii="Times New Roman" w:hAnsi="Times New Roman" w:cs="Times New Roman"/>
          <w:b/>
          <w:sz w:val="24"/>
          <w:szCs w:val="24"/>
          <w:lang w:bidi="hi-IN"/>
        </w:rPr>
        <w:t>0375200016118000439</w:t>
      </w: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A84009" w:rsidRPr="008B2756" w:rsidTr="003964F3">
        <w:tc>
          <w:tcPr>
            <w:tcW w:w="5778" w:type="dxa"/>
          </w:tcPr>
          <w:p w:rsidR="00A84009" w:rsidRPr="008B2756" w:rsidRDefault="00A84009" w:rsidP="00743252">
            <w:pPr>
              <w:spacing w:before="120" w:after="120"/>
              <w:outlineLvl w:val="1"/>
              <w:rPr>
                <w:rFonts w:ascii="Times New Roman" w:hAnsi="Times New Roman" w:cs="Times New Roman"/>
                <w:bCs/>
                <w:kern w:val="36"/>
                <w:sz w:val="24"/>
                <w:szCs w:val="24"/>
                <w:lang w:val="en-US"/>
              </w:rPr>
            </w:pPr>
            <w:r w:rsidRPr="008B2756">
              <w:rPr>
                <w:rFonts w:ascii="Times New Roman" w:hAnsi="Times New Roman" w:cs="Times New Roman"/>
                <w:bCs/>
                <w:kern w:val="36"/>
                <w:sz w:val="24"/>
                <w:szCs w:val="24"/>
              </w:rPr>
              <w:t>Место публикации</w:t>
            </w:r>
            <w:r w:rsidRPr="008B2756">
              <w:rPr>
                <w:rFonts w:ascii="Times New Roman" w:hAnsi="Times New Roman" w:cs="Times New Roman"/>
                <w:bCs/>
                <w:kern w:val="36"/>
                <w:sz w:val="24"/>
                <w:szCs w:val="24"/>
                <w:lang w:val="en-US"/>
              </w:rPr>
              <w:t xml:space="preserve">: </w:t>
            </w:r>
            <w:r w:rsidR="008D5D89" w:rsidRPr="008B2756">
              <w:rPr>
                <w:rFonts w:ascii="Times New Roman" w:hAnsi="Times New Roman" w:cs="Times New Roman"/>
                <w:sz w:val="24"/>
                <w:szCs w:val="24"/>
                <w:lang w:eastAsia="zh-CN" w:bidi="hi-IN"/>
              </w:rPr>
              <w:t>Российская Федерация, 296100, Крым Респ, Джанкой г, УЛ СОВХОЗНАЯ, ДОМ 19</w:t>
            </w:r>
          </w:p>
        </w:tc>
        <w:tc>
          <w:tcPr>
            <w:tcW w:w="3793" w:type="dxa"/>
          </w:tcPr>
          <w:p w:rsidR="00A84009" w:rsidRPr="008B2756" w:rsidRDefault="00A84009" w:rsidP="00743252">
            <w:pPr>
              <w:spacing w:before="120" w:after="120"/>
              <w:ind w:left="-567"/>
              <w:jc w:val="right"/>
              <w:rPr>
                <w:rFonts w:ascii="Times New Roman" w:hAnsi="Times New Roman" w:cs="Times New Roman"/>
                <w:sz w:val="24"/>
                <w:szCs w:val="24"/>
              </w:rPr>
            </w:pPr>
            <w:r w:rsidRPr="008B2756">
              <w:rPr>
                <w:rFonts w:ascii="Times New Roman" w:hAnsi="Times New Roman" w:cs="Times New Roman"/>
                <w:sz w:val="24"/>
                <w:szCs w:val="24"/>
              </w:rPr>
              <w:t xml:space="preserve">Дата публикации: </w:t>
            </w:r>
            <w:r w:rsidR="008D5D89" w:rsidRPr="008B2756">
              <w:rPr>
                <w:rFonts w:ascii="Times New Roman" w:hAnsi="Times New Roman" w:cs="Times New Roman"/>
                <w:sz w:val="24"/>
                <w:szCs w:val="24"/>
                <w:lang w:eastAsia="zh-CN" w:bidi="hi-IN"/>
              </w:rPr>
              <w:t>03.12.2018</w:t>
            </w:r>
          </w:p>
        </w:tc>
      </w:tr>
    </w:tbl>
    <w:p w:rsidR="00A84009" w:rsidRPr="008B2756" w:rsidRDefault="00A84009" w:rsidP="00743252">
      <w:pPr>
        <w:numPr>
          <w:ilvl w:val="0"/>
          <w:numId w:val="1"/>
        </w:numPr>
        <w:tabs>
          <w:tab w:val="clear" w:pos="720"/>
          <w:tab w:val="num" w:pos="-567"/>
        </w:tabs>
        <w:spacing w:before="120" w:after="120" w:line="240" w:lineRule="auto"/>
        <w:ind w:left="-567"/>
        <w:rPr>
          <w:rFonts w:ascii="Times New Roman" w:hAnsi="Times New Roman" w:cs="Times New Roman"/>
          <w:sz w:val="24"/>
          <w:szCs w:val="24"/>
        </w:rPr>
      </w:pPr>
      <w:r w:rsidRPr="008B2756">
        <w:rPr>
          <w:rFonts w:ascii="Times New Roman" w:hAnsi="Times New Roman" w:cs="Times New Roman"/>
          <w:snapToGrid w:val="0"/>
          <w:sz w:val="24"/>
          <w:szCs w:val="24"/>
          <w:lang w:eastAsia="zh-CN" w:bidi="hi-IN"/>
        </w:rPr>
        <w:t>Организатор закупки:</w:t>
      </w:r>
      <w:r w:rsidR="00AA2F61" w:rsidRPr="00AA2F61">
        <w:rPr>
          <w:rFonts w:ascii="Times New Roman" w:hAnsi="Times New Roman" w:cs="Times New Roman"/>
          <w:sz w:val="24"/>
          <w:szCs w:val="24"/>
          <w:lang w:eastAsia="zh-CN" w:bidi="hi-IN"/>
        </w:rPr>
        <w:t xml:space="preserve"> </w:t>
      </w:r>
      <w:r w:rsidR="00AA2F61">
        <w:rPr>
          <w:rFonts w:ascii="Times New Roman" w:hAnsi="Times New Roman" w:cs="Times New Roman"/>
          <w:sz w:val="24"/>
          <w:szCs w:val="24"/>
          <w:lang w:eastAsia="zh-CN" w:bidi="hi-IN"/>
        </w:rPr>
        <w:t>ГОСУДАРСТВЕННОЕ БЮДЖЕТНОЕ УЧРЕЖДЕНИЕ ЗДРАВООХРАНЕНИЯ РЕСПУБЛИКИ КРЫМ "ДЖАНКОЙСКАЯ ЦЕНТРАЛЬНАЯ РАЙОННАЯ БОЛЬНИЦА"</w:t>
      </w:r>
      <w:r w:rsidRPr="008B2756">
        <w:rPr>
          <w:rFonts w:ascii="Times New Roman" w:hAnsi="Times New Roman" w:cs="Times New Roman"/>
          <w:sz w:val="24"/>
          <w:szCs w:val="24"/>
          <w:lang w:eastAsia="zh-CN" w:bidi="hi-IN"/>
        </w:rPr>
        <w:t>.</w:t>
      </w:r>
    </w:p>
    <w:p w:rsidR="00A84009" w:rsidRPr="008B2756" w:rsidRDefault="001C7629" w:rsidP="00743252">
      <w:pPr>
        <w:spacing w:before="120" w:after="120" w:line="240" w:lineRule="auto"/>
        <w:ind w:left="-567"/>
        <w:contextualSpacing/>
        <w:rPr>
          <w:rFonts w:ascii="Times New Roman" w:hAnsi="Times New Roman" w:cs="Times New Roman"/>
          <w:sz w:val="24"/>
          <w:szCs w:val="24"/>
        </w:rPr>
      </w:pPr>
      <w:r>
        <w:rPr>
          <w:rFonts w:ascii="Times New Roman" w:hAnsi="Times New Roman" w:cs="Times New Roman"/>
          <w:sz w:val="24"/>
          <w:szCs w:val="24"/>
        </w:rPr>
        <w:t>З</w:t>
      </w:r>
      <w:r w:rsidR="00A84009" w:rsidRPr="008B2756">
        <w:rPr>
          <w:rFonts w:ascii="Times New Roman" w:hAnsi="Times New Roman" w:cs="Times New Roman"/>
          <w:sz w:val="24"/>
          <w:szCs w:val="24"/>
        </w:rPr>
        <w:t>аказчик</w:t>
      </w:r>
      <w:r w:rsidR="00A84009">
        <w:rPr>
          <w:rFonts w:ascii="Times New Roman" w:hAnsi="Times New Roman" w:cs="Times New Roman"/>
          <w:sz w:val="24"/>
          <w:szCs w:val="24"/>
        </w:rPr>
        <w:t>(</w:t>
      </w:r>
      <w:r w:rsidR="00A84009" w:rsidRPr="008B2756">
        <w:rPr>
          <w:rFonts w:ascii="Times New Roman" w:hAnsi="Times New Roman" w:cs="Times New Roman"/>
          <w:sz w:val="24"/>
          <w:szCs w:val="24"/>
        </w:rPr>
        <w:t>и</w:t>
      </w:r>
      <w:r w:rsidR="00A84009">
        <w:rPr>
          <w:rFonts w:ascii="Times New Roman" w:hAnsi="Times New Roman" w:cs="Times New Roman"/>
          <w:sz w:val="24"/>
          <w:szCs w:val="24"/>
        </w:rPr>
        <w:t>)</w:t>
      </w:r>
      <w:r w:rsidR="00A84009" w:rsidRPr="008B2756">
        <w:rPr>
          <w:rFonts w:ascii="Times New Roman" w:hAnsi="Times New Roman" w:cs="Times New Roman"/>
          <w:sz w:val="24"/>
          <w:szCs w:val="24"/>
          <w:lang w:val="en-US"/>
        </w:rPr>
        <w:t xml:space="preserve">: </w:t>
      </w: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84009" w:rsidRPr="008B2756" w:rsidTr="003964F3">
        <w:tc>
          <w:tcPr>
            <w:tcW w:w="9571" w:type="dxa"/>
          </w:tcPr>
          <w:p w:rsidR="00A84009" w:rsidRPr="008B2756" w:rsidRDefault="008D5D89" w:rsidP="00743252">
            <w:pPr>
              <w:spacing w:before="120" w:after="120"/>
              <w:contextualSpacing/>
              <w:rPr>
                <w:rFonts w:ascii="Times New Roman" w:hAnsi="Times New Roman" w:cs="Times New Roman"/>
                <w:sz w:val="24"/>
                <w:szCs w:val="24"/>
              </w:rPr>
            </w:pPr>
            <w:r w:rsidRPr="008B2756">
              <w:rPr>
                <w:rFonts w:ascii="Times New Roman" w:hAnsi="Times New Roman" w:cs="Times New Roman"/>
                <w:sz w:val="24"/>
                <w:szCs w:val="24"/>
              </w:rPr>
              <w:t>ГОСУДАРСТВЕННОЕ БЮДЖЕТНОЕ УЧРЕЖДЕНИЕ ЗДРАВООХРАНЕНИЯ РЕСПУБЛИКИ КРЫМ "ДЖАНКОЙСКАЯ ЦЕНТРАЛЬНАЯ РАЙОННАЯ БОЛЬНИЦА"</w:t>
            </w:r>
          </w:p>
        </w:tc>
      </w:tr>
    </w:tbl>
    <w:p w:rsidR="00C942B7" w:rsidRDefault="00C942B7" w:rsidP="005820BD">
      <w:pPr>
        <w:numPr>
          <w:ilvl w:val="0"/>
          <w:numId w:val="1"/>
        </w:numPr>
        <w:tabs>
          <w:tab w:val="clear" w:pos="720"/>
          <w:tab w:val="num" w:pos="-567"/>
        </w:tabs>
        <w:spacing w:before="120" w:after="120" w:line="240" w:lineRule="auto"/>
        <w:ind w:left="-567"/>
        <w:rPr>
          <w:rFonts w:ascii="Times New Roman" w:hAnsi="Times New Roman" w:cs="Times New Roman"/>
          <w:sz w:val="24"/>
          <w:szCs w:val="24"/>
        </w:rPr>
      </w:pPr>
      <w:r>
        <w:rPr>
          <w:rFonts w:ascii="Times New Roman" w:hAnsi="Times New Roman" w:cs="Times New Roman"/>
          <w:snapToGrid w:val="0"/>
          <w:sz w:val="24"/>
          <w:szCs w:val="24"/>
          <w:lang w:eastAsia="zh-CN" w:bidi="hi-IN"/>
        </w:rPr>
        <w:t>Идентификационный код закупки:</w:t>
      </w:r>
      <w:r>
        <w:rPr>
          <w:rFonts w:ascii="Times New Roman" w:hAnsi="Times New Roman" w:cs="Times New Roman"/>
          <w:snapToGrid w:val="0"/>
          <w:sz w:val="24"/>
          <w:szCs w:val="24"/>
          <w:lang w:val="en-US" w:eastAsia="zh-CN" w:bidi="hi-IN"/>
        </w:rPr>
        <w:t xml:space="preserve"> </w:t>
      </w:r>
      <w:r>
        <w:rPr>
          <w:rFonts w:ascii="Times New Roman" w:hAnsi="Times New Roman" w:cs="Times New Roman"/>
          <w:snapToGrid w:val="0"/>
          <w:sz w:val="24"/>
          <w:szCs w:val="24"/>
          <w:lang w:eastAsia="zh-CN" w:bidi="hi-IN"/>
        </w:rPr>
        <w:t>182910500673691050100100350014329000</w:t>
      </w:r>
    </w:p>
    <w:p w:rsidR="00A84009" w:rsidRPr="008B2756" w:rsidRDefault="00A84009" w:rsidP="00743252">
      <w:pPr>
        <w:numPr>
          <w:ilvl w:val="0"/>
          <w:numId w:val="1"/>
        </w:numPr>
        <w:tabs>
          <w:tab w:val="clear" w:pos="720"/>
          <w:tab w:val="num" w:pos="-567"/>
        </w:tabs>
        <w:spacing w:before="120" w:after="120" w:line="240" w:lineRule="auto"/>
        <w:ind w:left="-567"/>
        <w:jc w:val="both"/>
        <w:rPr>
          <w:rFonts w:ascii="Times New Roman" w:hAnsi="Times New Roman" w:cs="Times New Roman"/>
          <w:sz w:val="24"/>
          <w:szCs w:val="24"/>
        </w:rPr>
      </w:pPr>
      <w:r w:rsidRPr="008B2756">
        <w:rPr>
          <w:rFonts w:ascii="Times New Roman" w:hAnsi="Times New Roman" w:cs="Times New Roman"/>
          <w:sz w:val="24"/>
          <w:szCs w:val="24"/>
        </w:rPr>
        <w:t xml:space="preserve">Наименование предмета электронного аукциона: </w:t>
      </w:r>
      <w:r w:rsidR="008D5D89" w:rsidRPr="008B2756">
        <w:rPr>
          <w:rFonts w:ascii="Times New Roman" w:hAnsi="Times New Roman" w:cs="Times New Roman"/>
          <w:snapToGrid w:val="0"/>
          <w:sz w:val="24"/>
          <w:szCs w:val="24"/>
          <w:lang w:eastAsia="zh-CN" w:bidi="hi-IN"/>
        </w:rPr>
        <w:t>Капитальный ремонт ограждения с оборудованием постов и КПП территории расположенной по адресу: Республика Крым, г. Джанкой, ул. Совхозная, 19</w:t>
      </w:r>
      <w:r w:rsidRPr="008B2756">
        <w:rPr>
          <w:rFonts w:ascii="Times New Roman" w:hAnsi="Times New Roman" w:cs="Times New Roman"/>
          <w:snapToGrid w:val="0"/>
          <w:sz w:val="24"/>
          <w:szCs w:val="24"/>
          <w:lang w:eastAsia="zh-CN" w:bidi="hi-IN"/>
        </w:rPr>
        <w:t>.</w:t>
      </w:r>
    </w:p>
    <w:p w:rsidR="00A84009" w:rsidRPr="008B2756" w:rsidRDefault="00A84009" w:rsidP="00743252">
      <w:pPr>
        <w:numPr>
          <w:ilvl w:val="0"/>
          <w:numId w:val="1"/>
        </w:numPr>
        <w:tabs>
          <w:tab w:val="clear" w:pos="720"/>
          <w:tab w:val="num" w:pos="-567"/>
        </w:tabs>
        <w:spacing w:before="120" w:after="120" w:line="240" w:lineRule="auto"/>
        <w:ind w:left="-567"/>
        <w:jc w:val="both"/>
        <w:rPr>
          <w:rFonts w:ascii="Times New Roman" w:hAnsi="Times New Roman" w:cs="Times New Roman"/>
          <w:sz w:val="24"/>
          <w:szCs w:val="24"/>
        </w:rPr>
      </w:pPr>
      <w:r w:rsidRPr="008B2756">
        <w:rPr>
          <w:rFonts w:ascii="Times New Roman" w:hAnsi="Times New Roman" w:cs="Times New Roman"/>
          <w:sz w:val="24"/>
          <w:szCs w:val="24"/>
        </w:rPr>
        <w:t xml:space="preserve">Начальная (максимальная) цена государственного контракта: </w:t>
      </w:r>
      <w:r w:rsidR="008D5D89" w:rsidRPr="008B2756">
        <w:rPr>
          <w:rFonts w:ascii="Times New Roman" w:hAnsi="Times New Roman" w:cs="Times New Roman"/>
          <w:snapToGrid w:val="0"/>
          <w:sz w:val="24"/>
          <w:szCs w:val="24"/>
          <w:lang w:eastAsia="zh-CN" w:bidi="hi-IN"/>
        </w:rPr>
        <w:t>15350618,10</w:t>
      </w:r>
    </w:p>
    <w:p w:rsidR="00A84009" w:rsidRPr="0086659E" w:rsidRDefault="00A84009" w:rsidP="00743252">
      <w:pPr>
        <w:numPr>
          <w:ilvl w:val="0"/>
          <w:numId w:val="1"/>
        </w:numPr>
        <w:tabs>
          <w:tab w:val="clear" w:pos="720"/>
          <w:tab w:val="num" w:pos="-567"/>
        </w:tabs>
        <w:spacing w:before="120" w:after="120" w:line="240" w:lineRule="auto"/>
        <w:ind w:left="-567"/>
        <w:jc w:val="both"/>
        <w:rPr>
          <w:rFonts w:ascii="Times New Roman" w:hAnsi="Times New Roman" w:cs="Times New Roman"/>
          <w:sz w:val="24"/>
          <w:szCs w:val="24"/>
        </w:rPr>
      </w:pPr>
      <w:r w:rsidRPr="0086659E">
        <w:rPr>
          <w:rFonts w:ascii="Times New Roman" w:hAnsi="Times New Roman" w:cs="Times New Roman"/>
          <w:sz w:val="24"/>
          <w:szCs w:val="24"/>
        </w:rPr>
        <w:t xml:space="preserve">Извещение и аукционная документация о проведении электронного аукциона были размещены на Официальном </w:t>
      </w:r>
      <w:r w:rsidRPr="00B23BEF">
        <w:rPr>
          <w:rFonts w:ascii="Times New Roman" w:hAnsi="Times New Roman" w:cs="Times New Roman"/>
          <w:sz w:val="24"/>
          <w:szCs w:val="24"/>
        </w:rPr>
        <w:t xml:space="preserve">сайте Российской Федерации для размещения информации о размещении заказов </w:t>
      </w:r>
      <w:hyperlink r:id="rId6" w:history="1">
        <w:r w:rsidRPr="00B23BEF">
          <w:rPr>
            <w:rStyle w:val="a8"/>
            <w:rFonts w:ascii="Times New Roman" w:hAnsi="Times New Roman" w:cs="Times New Roman"/>
            <w:sz w:val="24"/>
            <w:szCs w:val="24"/>
          </w:rPr>
          <w:t>http://zakupki.gov.ru/</w:t>
        </w:r>
      </w:hyperlink>
      <w:r w:rsidRPr="00B23BEF">
        <w:rPr>
          <w:rFonts w:ascii="Times New Roman" w:hAnsi="Times New Roman" w:cs="Times New Roman"/>
          <w:sz w:val="24"/>
          <w:szCs w:val="24"/>
        </w:rPr>
        <w:t xml:space="preserve">, а также на сайте электронной площадки «РТС-тендер» </w:t>
      </w:r>
      <w:hyperlink r:id="rId7" w:history="1">
        <w:r w:rsidRPr="00B23BEF">
          <w:rPr>
            <w:rStyle w:val="a8"/>
            <w:rFonts w:ascii="Times New Roman" w:hAnsi="Times New Roman" w:cs="Times New Roman"/>
            <w:sz w:val="24"/>
            <w:szCs w:val="24"/>
          </w:rPr>
          <w:t>http://www.rts-tender.ru/</w:t>
        </w:r>
      </w:hyperlink>
      <w:r w:rsidRPr="00B23BEF">
        <w:rPr>
          <w:rFonts w:ascii="Times New Roman" w:hAnsi="Times New Roman" w:cs="Times New Roman"/>
          <w:sz w:val="24"/>
          <w:szCs w:val="24"/>
        </w:rPr>
        <w:t>.</w:t>
      </w:r>
    </w:p>
    <w:p w:rsidR="00A84009" w:rsidRPr="00193D8D" w:rsidRDefault="00A84009" w:rsidP="00743252">
      <w:pPr>
        <w:pStyle w:val="a9"/>
        <w:numPr>
          <w:ilvl w:val="0"/>
          <w:numId w:val="1"/>
        </w:numPr>
        <w:tabs>
          <w:tab w:val="clear" w:pos="720"/>
          <w:tab w:val="left" w:pos="-567"/>
        </w:tabs>
        <w:spacing w:before="120" w:after="120" w:line="240" w:lineRule="auto"/>
        <w:ind w:left="-567"/>
        <w:rPr>
          <w:rFonts w:ascii="Times New Roman" w:hAnsi="Times New Roman" w:cs="Times New Roman"/>
          <w:sz w:val="24"/>
          <w:szCs w:val="24"/>
          <w:lang w:val="en-US" w:bidi="hi-IN"/>
        </w:rPr>
      </w:pPr>
      <w:r w:rsidRPr="00193D8D">
        <w:rPr>
          <w:rFonts w:ascii="Times New Roman" w:hAnsi="Times New Roman" w:cs="Times New Roman"/>
          <w:sz w:val="24"/>
          <w:szCs w:val="24"/>
          <w:lang w:eastAsia="zh-CN" w:bidi="hi-IN"/>
        </w:rPr>
        <w:t>Состав аукционной комиссии.</w:t>
      </w:r>
      <w:r w:rsidR="003F1430" w:rsidRPr="00193D8D">
        <w:rPr>
          <w:rFonts w:ascii="Times New Roman" w:hAnsi="Times New Roman" w:cs="Times New Roman"/>
          <w:sz w:val="24"/>
          <w:szCs w:val="24"/>
          <w:lang w:eastAsia="zh-CN" w:bidi="hi-IN"/>
        </w:rPr>
        <w:br/>
      </w:r>
      <w:r w:rsidR="008D5D89" w:rsidRPr="00193D8D">
        <w:rPr>
          <w:rFonts w:ascii="Times New Roman" w:hAnsi="Times New Roman" w:cs="Times New Roman"/>
          <w:sz w:val="24"/>
          <w:szCs w:val="24"/>
          <w:lang w:eastAsia="zh-CN" w:bidi="hi-IN"/>
        </w:rPr>
        <w:t>На заседании аукционной комиссии  по рассмотрению заявок на участие в электронном аукционе  присутствовали:</w:t>
      </w: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1"/>
        <w:gridCol w:w="2977"/>
        <w:gridCol w:w="2835"/>
      </w:tblGrid>
      <w:tr w:rsidR="00193D8D" w:rsidRPr="004C1D73" w:rsidTr="00677C6D">
        <w:trPr>
          <w:trHeight w:val="387"/>
        </w:trPr>
        <w:tc>
          <w:tcPr>
            <w:tcW w:w="4111" w:type="dxa"/>
            <w:shd w:val="clear" w:color="auto" w:fill="D9D9D9" w:themeFill="background1" w:themeFillShade="D9"/>
            <w:vAlign w:val="center"/>
          </w:tcPr>
          <w:p w:rsidR="00193D8D" w:rsidRPr="004C1D73" w:rsidRDefault="00193D8D" w:rsidP="008A258B">
            <w:pPr>
              <w:spacing w:before="120" w:after="120" w:line="240" w:lineRule="auto"/>
              <w:jc w:val="center"/>
              <w:rPr>
                <w:rFonts w:ascii="Times New Roman" w:hAnsi="Times New Roman" w:cs="Times New Roman"/>
                <w:b/>
                <w:bCs/>
                <w:szCs w:val="24"/>
              </w:rPr>
            </w:pPr>
            <w:r w:rsidRPr="004C1D73">
              <w:rPr>
                <w:rFonts w:ascii="Times New Roman" w:hAnsi="Times New Roman" w:cs="Times New Roman"/>
                <w:b/>
                <w:bCs/>
                <w:szCs w:val="24"/>
              </w:rPr>
              <w:t>Член комиссии</w:t>
            </w:r>
          </w:p>
        </w:tc>
        <w:tc>
          <w:tcPr>
            <w:tcW w:w="2977" w:type="dxa"/>
            <w:shd w:val="clear" w:color="auto" w:fill="D9D9D9" w:themeFill="background1" w:themeFillShade="D9"/>
            <w:vAlign w:val="center"/>
          </w:tcPr>
          <w:p w:rsidR="00193D8D" w:rsidRPr="004C1D73" w:rsidRDefault="00193D8D" w:rsidP="008A258B">
            <w:pPr>
              <w:spacing w:before="120" w:after="120" w:line="240" w:lineRule="auto"/>
              <w:jc w:val="center"/>
              <w:rPr>
                <w:rFonts w:ascii="Times New Roman" w:hAnsi="Times New Roman" w:cs="Times New Roman"/>
                <w:b/>
                <w:bCs/>
                <w:szCs w:val="24"/>
              </w:rPr>
            </w:pPr>
            <w:r w:rsidRPr="004C1D73">
              <w:rPr>
                <w:rFonts w:ascii="Times New Roman" w:hAnsi="Times New Roman" w:cs="Times New Roman"/>
                <w:b/>
                <w:bCs/>
                <w:szCs w:val="24"/>
              </w:rPr>
              <w:t>Роль</w:t>
            </w:r>
          </w:p>
        </w:tc>
        <w:tc>
          <w:tcPr>
            <w:tcW w:w="2835" w:type="dxa"/>
            <w:shd w:val="clear" w:color="auto" w:fill="D9D9D9" w:themeFill="background1" w:themeFillShade="D9"/>
            <w:vAlign w:val="center"/>
          </w:tcPr>
          <w:p w:rsidR="00193D8D" w:rsidRPr="004C1D73" w:rsidRDefault="00193D8D" w:rsidP="008A258B">
            <w:pPr>
              <w:spacing w:before="120" w:after="120" w:line="240" w:lineRule="auto"/>
              <w:jc w:val="center"/>
              <w:rPr>
                <w:rFonts w:ascii="Times New Roman" w:hAnsi="Times New Roman" w:cs="Times New Roman"/>
                <w:b/>
                <w:bCs/>
                <w:szCs w:val="24"/>
              </w:rPr>
            </w:pPr>
            <w:r w:rsidRPr="004C1D73">
              <w:rPr>
                <w:rFonts w:ascii="Times New Roman" w:hAnsi="Times New Roman" w:cs="Times New Roman"/>
                <w:b/>
                <w:bCs/>
                <w:szCs w:val="24"/>
              </w:rPr>
              <w:t>Статус</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Нестеренко Олег Александрович</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Председатель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присутствовал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Кичман Анатолий Викторович</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Зам. председателя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присутствовал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Панченко Елена Ивановна</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Член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присутствовал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Филиппова Анна Михайловна</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Член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присутствовал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Герасименко Иван Александрович</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Член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присутствовал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Нояченко  Александр Анатольевич</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Член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отсутствовал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Селиванова Юлия  Александровна</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Член комиссии</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отсутствовал</w:t>
            </w:r>
          </w:p>
        </w:tc>
      </w:tr>
      <w:tr w:rsidR="00193D8D" w:rsidRPr="008B2756" w:rsidTr="00677C6D">
        <w:tc>
          <w:tcPr>
            <w:tcW w:w="4111"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Никитин Виталий Олегович</w:t>
            </w:r>
          </w:p>
        </w:tc>
        <w:tc>
          <w:tcPr>
            <w:tcW w:w="2977" w:type="dxa"/>
            <w:vAlign w:val="center"/>
          </w:tcPr>
          <w:p w:rsidR="00193D8D" w:rsidRPr="008B2756" w:rsidRDefault="00193D8D" w:rsidP="008A258B">
            <w:pPr>
              <w:spacing w:before="120" w:after="120" w:line="240" w:lineRule="auto"/>
              <w:ind w:right="114"/>
              <w:rPr>
                <w:rFonts w:ascii="Times New Roman" w:hAnsi="Times New Roman" w:cs="Times New Roman"/>
                <w:sz w:val="24"/>
                <w:szCs w:val="24"/>
              </w:rPr>
            </w:pPr>
            <w:r w:rsidRPr="008B2756">
              <w:rPr>
                <w:rFonts w:ascii="Times New Roman" w:hAnsi="Times New Roman" w:cs="Times New Roman"/>
                <w:sz w:val="24"/>
                <w:szCs w:val="24"/>
              </w:rPr>
              <w:t>Секретарь</w:t>
            </w:r>
          </w:p>
        </w:tc>
        <w:tc>
          <w:tcPr>
            <w:tcW w:w="2835" w:type="dxa"/>
            <w:vAlign w:val="center"/>
          </w:tcPr>
          <w:p w:rsidR="00193D8D" w:rsidRPr="008B2756" w:rsidRDefault="00193D8D" w:rsidP="008A258B">
            <w:pPr>
              <w:spacing w:before="120" w:after="120" w:line="240" w:lineRule="auto"/>
              <w:rPr>
                <w:rFonts w:ascii="Times New Roman" w:hAnsi="Times New Roman" w:cs="Times New Roman"/>
                <w:sz w:val="24"/>
                <w:szCs w:val="24"/>
              </w:rPr>
            </w:pPr>
            <w:r w:rsidRPr="008B2756">
              <w:rPr>
                <w:rFonts w:ascii="Times New Roman" w:hAnsi="Times New Roman" w:cs="Times New Roman"/>
                <w:sz w:val="24"/>
                <w:szCs w:val="24"/>
              </w:rPr>
              <w:t>отсутствовал</w:t>
            </w:r>
          </w:p>
        </w:tc>
      </w:tr>
    </w:tbl>
    <w:p w:rsidR="00A84009" w:rsidRPr="008B2756" w:rsidRDefault="008D5D89" w:rsidP="00743252">
      <w:pPr>
        <w:spacing w:before="120" w:after="0" w:line="240" w:lineRule="auto"/>
        <w:ind w:left="-567"/>
        <w:jc w:val="both"/>
        <w:rPr>
          <w:rFonts w:ascii="Times New Roman" w:hAnsi="Times New Roman" w:cs="Times New Roman"/>
          <w:sz w:val="24"/>
          <w:szCs w:val="24"/>
          <w:lang w:val="en-US"/>
        </w:rPr>
      </w:pPr>
      <w:r w:rsidRPr="008B2756">
        <w:rPr>
          <w:rFonts w:ascii="Times New Roman" w:hAnsi="Times New Roman" w:cs="Times New Roman"/>
          <w:sz w:val="24"/>
          <w:szCs w:val="24"/>
          <w:lang w:eastAsia="zh-CN" w:bidi="hi-IN"/>
        </w:rPr>
        <w:t>Всего на заседании присутствовало 5 члена(ов) аукционной комиссии. Кворум имеется. Заседание правомочно.</w:t>
      </w:r>
    </w:p>
    <w:p w:rsidR="00A84009" w:rsidRPr="009E6C74" w:rsidRDefault="00A84009" w:rsidP="00743252">
      <w:pPr>
        <w:numPr>
          <w:ilvl w:val="0"/>
          <w:numId w:val="1"/>
        </w:numPr>
        <w:tabs>
          <w:tab w:val="clear" w:pos="720"/>
          <w:tab w:val="num" w:pos="-567"/>
        </w:tabs>
        <w:spacing w:before="120" w:after="120" w:line="240" w:lineRule="auto"/>
        <w:ind w:left="-567" w:hanging="357"/>
        <w:jc w:val="both"/>
        <w:rPr>
          <w:rFonts w:ascii="Times New Roman" w:hAnsi="Times New Roman" w:cs="Times New Roman"/>
          <w:sz w:val="24"/>
          <w:szCs w:val="24"/>
        </w:rPr>
      </w:pPr>
      <w:r w:rsidRPr="008B2756">
        <w:rPr>
          <w:rFonts w:ascii="Times New Roman" w:hAnsi="Times New Roman" w:cs="Times New Roman"/>
          <w:sz w:val="24"/>
          <w:szCs w:val="24"/>
        </w:rPr>
        <w:t>На момент окончания срока подачи заявок на участие в электронном ау</w:t>
      </w:r>
      <w:r>
        <w:rPr>
          <w:rFonts w:ascii="Times New Roman" w:hAnsi="Times New Roman" w:cs="Times New Roman"/>
          <w:sz w:val="24"/>
          <w:szCs w:val="24"/>
        </w:rPr>
        <w:t xml:space="preserve">кционе было подано </w:t>
      </w:r>
      <w:r w:rsidR="008D5D89" w:rsidRPr="00EC75CD">
        <w:rPr>
          <w:rFonts w:ascii="Times New Roman" w:hAnsi="Times New Roman"/>
          <w:sz w:val="24"/>
          <w:szCs w:val="24"/>
          <w:lang w:eastAsia="zh-CN" w:bidi="hi-IN"/>
        </w:rPr>
        <w:t>12</w:t>
      </w:r>
      <w:r>
        <w:rPr>
          <w:rFonts w:ascii="Times New Roman" w:hAnsi="Times New Roman" w:cs="Times New Roman"/>
          <w:sz w:val="24"/>
          <w:szCs w:val="24"/>
        </w:rPr>
        <w:t xml:space="preserve"> заявки(ок)</w:t>
      </w:r>
      <w:r w:rsidRPr="009E6C74">
        <w:rPr>
          <w:rFonts w:ascii="Times New Roman" w:hAnsi="Times New Roman" w:cs="Times New Roman"/>
          <w:sz w:val="24"/>
          <w:szCs w:val="24"/>
        </w:rPr>
        <w:t>:</w:t>
      </w: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5954"/>
      </w:tblGrid>
      <w:tr w:rsidR="00193D8D" w:rsidRPr="004C1D73" w:rsidTr="00677C6D">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D8D" w:rsidRPr="004C1D73" w:rsidRDefault="00677C6D" w:rsidP="000738B3">
            <w:pPr>
              <w:spacing w:before="120" w:after="120" w:line="240" w:lineRule="auto"/>
              <w:ind w:left="-28"/>
              <w:jc w:val="center"/>
              <w:rPr>
                <w:rFonts w:ascii="Times New Roman" w:hAnsi="Times New Roman" w:cs="Times New Roman"/>
                <w:b/>
                <w:bCs/>
                <w:szCs w:val="24"/>
              </w:rPr>
            </w:pPr>
            <w:r>
              <w:rPr>
                <w:rFonts w:ascii="Times New Roman" w:hAnsi="Times New Roman" w:cs="Times New Roman"/>
                <w:b/>
                <w:bCs/>
                <w:szCs w:val="24"/>
              </w:rPr>
              <w:t>Идентификационный</w:t>
            </w:r>
            <w:r w:rsidR="00193D8D" w:rsidRPr="004C1D73">
              <w:rPr>
                <w:rFonts w:ascii="Times New Roman" w:hAnsi="Times New Roman" w:cs="Times New Roman"/>
                <w:b/>
                <w:bCs/>
                <w:szCs w:val="24"/>
              </w:rPr>
              <w:t xml:space="preserve"> номер заявки</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D8D" w:rsidRPr="004C1D73" w:rsidRDefault="00193D8D" w:rsidP="008A258B">
            <w:pPr>
              <w:spacing w:before="120" w:after="120" w:line="240" w:lineRule="auto"/>
              <w:jc w:val="center"/>
              <w:rPr>
                <w:rFonts w:ascii="Times New Roman" w:hAnsi="Times New Roman" w:cs="Times New Roman"/>
                <w:b/>
                <w:bCs/>
                <w:szCs w:val="24"/>
              </w:rPr>
            </w:pPr>
            <w:r w:rsidRPr="004C1D73">
              <w:rPr>
                <w:rFonts w:ascii="Times New Roman" w:hAnsi="Times New Roman" w:cs="Times New Roman"/>
                <w:b/>
                <w:bCs/>
                <w:szCs w:val="24"/>
              </w:rPr>
              <w:t>Дата и время регистрации заявки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104141049</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10:09:38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104141743</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11:10:25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104144534</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14:40:46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104144662</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14:50:26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104137443</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16:36:44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104148154</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21:27:46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104140775</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23:15:05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104148429</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23:37:04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104148687</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29.11.2018 00:51:55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104149519</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29.11.2018 07:03:08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104149606</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29.11.2018 07:18:47 (по московскому времени)</w:t>
            </w:r>
          </w:p>
        </w:tc>
      </w:tr>
      <w:tr w:rsidR="00193D8D" w:rsidRPr="009E6C74" w:rsidTr="00677C6D">
        <w:tc>
          <w:tcPr>
            <w:tcW w:w="3969"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677C6D">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104138928</w:t>
            </w:r>
          </w:p>
        </w:tc>
        <w:tc>
          <w:tcPr>
            <w:tcW w:w="5954" w:type="dxa"/>
            <w:tcBorders>
              <w:top w:val="single" w:sz="4" w:space="0" w:color="auto"/>
              <w:left w:val="single" w:sz="4" w:space="0" w:color="auto"/>
              <w:bottom w:val="single" w:sz="4" w:space="0" w:color="auto"/>
              <w:right w:val="single" w:sz="4" w:space="0" w:color="auto"/>
            </w:tcBorders>
            <w:vAlign w:val="center"/>
          </w:tcPr>
          <w:p w:rsidR="00193D8D" w:rsidRPr="009E6C74" w:rsidRDefault="00193D8D" w:rsidP="008A258B">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29.11.2018 07:29:03 (по московскому времени)</w:t>
            </w:r>
          </w:p>
        </w:tc>
      </w:tr>
    </w:tbl>
    <w:p w:rsidR="00A84009" w:rsidRPr="00EC75CD" w:rsidRDefault="00A84009" w:rsidP="00743252">
      <w:pPr>
        <w:numPr>
          <w:ilvl w:val="0"/>
          <w:numId w:val="1"/>
        </w:numPr>
        <w:tabs>
          <w:tab w:val="clear" w:pos="720"/>
          <w:tab w:val="left" w:pos="-562"/>
        </w:tabs>
        <w:spacing w:before="120" w:after="120" w:line="240" w:lineRule="auto"/>
        <w:ind w:left="-562"/>
        <w:jc w:val="both"/>
        <w:rPr>
          <w:rFonts w:ascii="Times New Roman" w:hAnsi="Times New Roman" w:cs="Times New Roman"/>
          <w:sz w:val="24"/>
          <w:szCs w:val="24"/>
        </w:rPr>
      </w:pPr>
      <w:r w:rsidRPr="00EC75CD">
        <w:rPr>
          <w:rFonts w:ascii="Times New Roman" w:hAnsi="Times New Roman" w:cs="Times New Roman"/>
          <w:sz w:val="24"/>
          <w:szCs w:val="24"/>
        </w:rPr>
        <w:t>Аукционная комиссия рассмотрела первые части заявок на участие в электронном аукционе в порядке, установленном ст. 67 Федерального закона от 05 апреля 2013 г. №44-ФЗ</w:t>
      </w:r>
      <w:r w:rsidR="00E629F1">
        <w:rPr>
          <w:rFonts w:ascii="Times New Roman" w:hAnsi="Times New Roman" w:cs="Times New Roman"/>
          <w:sz w:val="24"/>
          <w:szCs w:val="24"/>
        </w:rPr>
        <w:t>,</w:t>
      </w:r>
      <w:r w:rsidRPr="00EC75CD">
        <w:rPr>
          <w:rFonts w:ascii="Times New Roman" w:hAnsi="Times New Roman" w:cs="Times New Roman"/>
          <w:sz w:val="24"/>
          <w:szCs w:val="24"/>
        </w:rPr>
        <w:t xml:space="preserve"> на соответствие требованиям, установленным в документации об аукционе, и приняла решение:</w:t>
      </w:r>
    </w:p>
    <w:tbl>
      <w:tblPr>
        <w:tblW w:w="5272"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1"/>
        <w:gridCol w:w="2646"/>
        <w:gridCol w:w="5075"/>
      </w:tblGrid>
      <w:tr w:rsidR="00193D8D" w:rsidRPr="0053515B" w:rsidTr="008A258B">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8D" w:rsidRPr="00607816" w:rsidRDefault="000738B3" w:rsidP="008A258B">
            <w:pPr>
              <w:spacing w:before="120" w:after="120" w:line="240" w:lineRule="auto"/>
              <w:ind w:left="-28"/>
              <w:jc w:val="center"/>
              <w:rPr>
                <w:rFonts w:ascii="Times New Roman" w:hAnsi="Times New Roman" w:cs="Times New Roman"/>
                <w:b/>
                <w:bCs/>
                <w:szCs w:val="24"/>
              </w:rPr>
            </w:pPr>
            <w:r>
              <w:rPr>
                <w:rFonts w:ascii="Times New Roman" w:hAnsi="Times New Roman" w:cs="Times New Roman"/>
                <w:b/>
                <w:bCs/>
                <w:szCs w:val="24"/>
              </w:rPr>
              <w:t>Идентификационный</w:t>
            </w:r>
            <w:r w:rsidRPr="004C1D73">
              <w:rPr>
                <w:rFonts w:ascii="Times New Roman" w:hAnsi="Times New Roman" w:cs="Times New Roman"/>
                <w:b/>
                <w:bCs/>
                <w:szCs w:val="24"/>
              </w:rPr>
              <w:t xml:space="preserve"> </w:t>
            </w:r>
            <w:r>
              <w:rPr>
                <w:rFonts w:ascii="Times New Roman" w:hAnsi="Times New Roman" w:cs="Times New Roman"/>
                <w:b/>
                <w:bCs/>
                <w:szCs w:val="24"/>
              </w:rPr>
              <w:t>номер</w:t>
            </w:r>
            <w:r w:rsidR="00193D8D" w:rsidRPr="00607816">
              <w:rPr>
                <w:rFonts w:ascii="Times New Roman" w:hAnsi="Times New Roman" w:cs="Times New Roman"/>
                <w:b/>
                <w:bCs/>
                <w:szCs w:val="24"/>
              </w:rPr>
              <w:t xml:space="preserve"> заявки</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8D" w:rsidRPr="00607816" w:rsidRDefault="00193D8D" w:rsidP="008A258B">
            <w:pPr>
              <w:spacing w:before="120" w:after="120" w:line="240" w:lineRule="auto"/>
              <w:jc w:val="center"/>
              <w:rPr>
                <w:rFonts w:ascii="Times New Roman" w:hAnsi="Times New Roman" w:cs="Times New Roman"/>
                <w:b/>
                <w:bCs/>
                <w:szCs w:val="24"/>
              </w:rPr>
            </w:pPr>
            <w:r w:rsidRPr="00607816">
              <w:rPr>
                <w:rFonts w:ascii="Times New Roman" w:hAnsi="Times New Roman" w:cs="Times New Roman"/>
                <w:b/>
                <w:bCs/>
                <w:szCs w:val="24"/>
              </w:rPr>
              <w:t>Решение о допуске или об отказе в допуске участника закупки</w:t>
            </w:r>
          </w:p>
        </w:tc>
        <w:tc>
          <w:tcPr>
            <w:tcW w:w="2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8D" w:rsidRPr="00607816" w:rsidRDefault="00193D8D" w:rsidP="008A258B">
            <w:pPr>
              <w:spacing w:before="120" w:after="120" w:line="240" w:lineRule="auto"/>
              <w:jc w:val="center"/>
              <w:rPr>
                <w:rFonts w:ascii="Times New Roman" w:hAnsi="Times New Roman" w:cs="Times New Roman"/>
                <w:b/>
                <w:bCs/>
                <w:szCs w:val="24"/>
              </w:rPr>
            </w:pPr>
            <w:r w:rsidRPr="00607816">
              <w:rPr>
                <w:rFonts w:ascii="Times New Roman" w:hAnsi="Times New Roman" w:cs="Times New Roman"/>
                <w:b/>
                <w:bCs/>
                <w:szCs w:val="24"/>
              </w:rPr>
              <w:t>Обоснование решения</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104141049</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Допустить к участию в аукционе и признать участником аукциона</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104141743</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Допустить к участию в аукционе и признать участником аукциона</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104144534</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Непредставление информации, предусмотренной частью 3 статьи 66 Федерального закона № 44-ФЗ, или представление недостоверной информации (Отказ по п. 1 ч. 4 ст. 67 44-ФЗ) Непредоставления информации, предусмотренной частью 3 статьи 66 Федерального закона, или предоставления недостоверной информации (Отказ по п. 1 ч. 4 ст. 67 44-ФЗ).  1) В позиции 12 «Бетон тяжелый» установлено требование: «Готовая к применению перемешанная однородная смесь вяжущего, заполнителей и воды с добавлением одного вида добавок, которая после уплотнения, схватывания и твердения превращается в бетон. По морозостойкости марки (по первому базовому методу) бетон требуется не выше F1300. Добавки в составе бетона: стабилизирующие или водоредуцирующие или увеличивающие воздухо- (газо) содержание, согласно ГОСТ 24211-2008. Бетонные смеси </w:t>
            </w:r>
            <w:r w:rsidRPr="008E612C">
              <w:rPr>
                <w:rFonts w:ascii="Times New Roman" w:hAnsi="Times New Roman" w:cs="Times New Roman"/>
                <w:sz w:val="24"/>
                <w:szCs w:val="24"/>
              </w:rPr>
              <w:lastRenderedPageBreak/>
              <w:t>должны соответствовать требованиям ГОСТ 7473-2010». Участником указано: «Готовая к применению перемешанная однородная смесь вяжущего, заполнителей и воды с добавлением одного вида добавок, которая после уплотнения, схватывания и твердения превращается в бетон. По морозостойкости марки (по первому базовому методу) бетон F1200 для В12,5 и В15. Добавки в составе бетона: стабилизирующие, согласно ГОСТ 24211-2008. Бетонные смеси соответствуют ГОСТ 7473- 2010». Согласно ГОСТ 26633-2015: «4.4.3 Бетонные смеси для бетонов марки по морозостойкости F1200  (F2100) и выше следует изготовлять с применением воздухововлекающих (газообразующих) добавок. Содержание вовлеченного воздуха в бетонной смеси должно быть не менее 4%». Таким образом, участник закупки предоставил сведения относительно бетона не соответствующие требованиям ГОСТ 26633-2015, соответствие которому было предусмотрено аукционной документацией.  2) В позиции 16 «Трубы напорные» установлено требование: «Температура воспламенения материала труб - не ниже 300 °С». Участником указано: «Температура воспламенения материала труб 300 °С». Согласно инструкции: «С целью исключения противоречия в требованиях к используемым при выполнении работ материалам части наименования отдельных показателей и/или их значения могут быть выделены заказчиком подчеркнутым шрифтом, что означает их неизменность. Выделенные таким образом части наименования отдельных показателей и/или их значения участником должны быть приведены в заявке в неизменном виде». А также согласно требованиям, ГОСТ 18599-2001: «6 Требования безопасности Температура воспламенения материала труб - не ниже 300 °С».</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104144662</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 «Секция ограждения» установлено требование: «Секции прикреплены к опорным трубам стальным диаметром шестьдесят миллиметров и с минимальным значением толщины стенки три миллиметра». Участником указано: «Секции прикреплены к опорным трубам стальным диаметром шестьдесят миллиметров и со </w:t>
            </w:r>
            <w:r w:rsidRPr="008E612C">
              <w:rPr>
                <w:rFonts w:ascii="Times New Roman" w:hAnsi="Times New Roman" w:cs="Times New Roman"/>
                <w:sz w:val="24"/>
                <w:szCs w:val="24"/>
              </w:rPr>
              <w:lastRenderedPageBreak/>
              <w:t>значением толщины стенки три миллиметра».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 2) В позиции 8 «Кабель силовой с медными жилами» установлено требование: «Класс пожарной опасности П2.8.2.5.4 или П1б.8.2.5.4». Участником указано: «Класс пожарной опасности П2.8.2.5.4 или П1б.8.2.5.4». Согласно инструкции: «При указании в требованиях к товарам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товара, при этом исключается возможность участника указывать одновременно несколько показателей».</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104137443</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Непредставление информации, предусмотренной частью 3 статьи 66 Федерального закона № 44-ФЗ, или представление недостоверной информации (Отказ по п. 1 ч. 4 ст. 67 44-ФЗ)Непредоставления информации, предусмотренной частью 3 статьи 66 Федерального закона, или предоставления недостоверной информации (Отказ по п. 1 ч. 4 ст. 67 44-ФЗ).  1) В позиции 12 «Бетон тяжелый» установлено требование: «В качестве мелкого заполнителя следует применять природный песок или песок из отсевов дробления горных пород». Участником указано: «В качестве мелкого заполнителя применяется природный песок из отсевов дробления горных пород (для В12,5 и В15)». Согласно инструкции: «При указании в требованиях к товарам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товара, при этом исключается возможность участника указывать одновременно несколько показателей».  Согласно ГОСТ 26633-2015: «4.7.2 В качестве мелкого заполнителя для бетонов применяют природный песок по ГОСТ 8736, песок из отсевов дробления горных пород по ГОСТ 31424 …». Предложение участника не соответствует требованиям инструкции, а также требованиям ГОСТ 26633-2015, т.к., природный </w:t>
            </w:r>
            <w:r w:rsidRPr="008E612C">
              <w:rPr>
                <w:rFonts w:ascii="Times New Roman" w:hAnsi="Times New Roman" w:cs="Times New Roman"/>
                <w:sz w:val="24"/>
                <w:szCs w:val="24"/>
              </w:rPr>
              <w:lastRenderedPageBreak/>
              <w:t>песок из отсевов дробления горных пород не существует.  2) В позиции 8 «Кабель силовой с медными жилами» установлено требование: «По исполнению в части показателей пожарной опасности: не распространяющие горение при групповой прокладке по категории A/В. Класс пожарной опасности П2.8.2.5.4 или П1б.8.2.5.4.». Участником указано: «По исполнению в части показателей пожарной опасности: не распространяющие горение при групповой прокладке по категории A. Класс пожарной опасности П2.8.2.5.4». Согласно ГОСТ 31996-2012 и ГОСТ 31565-2012: «Тип исполнения кабельного изделия нг(А) относится  к классу пожарной опасности П1б.8.2.5.4. Тип исполнения кабельного изделия нг(В) относится  к классу пожарной опасности П2.8.2.5.4». Участником предоставлены в заявке недостоверные сведения.</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104148154</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Несоответствие информации, предусмотренной частью 3 статьи 66 Федерального закона № 44-ФЗ, требованиям документации об аукционе (Отказ по п. 2 ч. 4 ст. 67 44-ФЗ)Несоответствие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 «Секция ограждения» установлено требование: «Секции прикреплены к опорным трубам стальным диаметром шестьдесят миллиметров и с минимальным значением толщины стенки три миллиметра». Участником указано: «Секции прикреплены к опорным трубам стальным диаметром шестьдесят миллиметров и с толщиной стенки три миллиметра».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  2) В позиции 4 «Турникет двусторонний электромеханический» установлено требование: «Напряжение питания, В: 10</w:t>
            </w:r>
            <w:r w:rsidRPr="008E612C">
              <w:rPr>
                <w:rFonts w:ascii="Times New Roman" w:hAnsi="Times New Roman" w:cs="Times New Roman"/>
                <w:sz w:val="24"/>
                <w:szCs w:val="24"/>
              </w:rPr>
              <w:t xml:space="preserve">14». Участником указано: «Напряжение питания, В: 12». Согласно инструкции: «К разряду показателей, которые не фиксируются однозначным образом, отнесены диапазонные значения, что указывается в описании объекта закупки с применением специального символа «÷». Таким образом, в случае, если показатель сопровождается символом «÷» участник указывает диапазонное значение «не шире» </w:t>
            </w:r>
            <w:r w:rsidRPr="008E612C">
              <w:rPr>
                <w:rFonts w:ascii="Times New Roman" w:hAnsi="Times New Roman" w:cs="Times New Roman"/>
                <w:sz w:val="24"/>
                <w:szCs w:val="24"/>
              </w:rPr>
              <w:lastRenderedPageBreak/>
              <w:t>заявленного (то есть диапазон, предложенный участником по верхней и нижней границе может соответствовать значениям заявленным заказчиком либо сужать требуемый заказчиком диапазон)». Участником предоставлены сведения, не соответствующие требованиям аукционной документации.</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104140775</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Несоответствие информации, предусмотренной частью 3 статьи 66 Федерального закона № 44-ФЗ, требованиям документации об аукционе (Отказ по п. 2 ч. 4 ст. 67 44-ФЗ)Несоответствие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15 «Раствор строительный» установлено требование: «По средней плотности раствор – легкий, тяжелый». Участником указано: «По средней плотности раствор – легкий, тяжелый». Согласно инструкции: «если присутствует обобщающее слово или фраза, после которого (-ой) стоит дефис или тире, и значения параметра эквивалентности разделены запятой (при этом данные параметры указывают на многообразные варианты исполнения одного и того же товара, т.е., являются взаимоисключающими), участник должен выбрать только одну точную характеристику товара».  2) В позиции 18 «Асфальтобетонные смеси дорожные» установлено требование: «Щебень из плотных горных пород изверженных; осадочных, входящий в состав смесей, маркой по дробимости: не ниже 1200». Участником указано: «Щебень из плотных горных пород осадочных, входящий в состав смесей, маркой по дробимости: 1200». Согласно инструкции: «Двоеточие отделяет наименование показателя от требований, установленных к данному показателю (например: «Номинальная длина, м: не более 6», «Номинальная длина, м» - наименование показателя и «не более 6» - требование заказчика подлежащее конкретизации), в случае если двоеточие отсутствует в предложение участнику закупки необходимо конкретизировать требования заказчика руководствуясь положениями инструкции. Наименования показателей изменению не подлежат при этом данное правило имеет приоритет над всеми остальными».</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104148429</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Непредставление информации, предусмотренной частью 3 статьи 66 Федерального закона № 44-ФЗ, или представление недостоверной информации (Отказ по п. 1 ч. 4 ст. 67 44-ФЗ) </w:t>
            </w:r>
            <w:r w:rsidRPr="008E612C">
              <w:rPr>
                <w:rFonts w:ascii="Times New Roman" w:hAnsi="Times New Roman" w:cs="Times New Roman"/>
                <w:sz w:val="24"/>
                <w:szCs w:val="24"/>
              </w:rPr>
              <w:lastRenderedPageBreak/>
              <w:t>Непредоставления информации, предусмотренной частью 3 статьи 66 Федерального закона, или предоставления недостоверной информации (Отказ по п. 1 ч. 4 ст. 67 44-ФЗ).  1) В позиции 9 «Арматурные сетки сварные» установлено требование: «Длина сетки, мм, до 9000». Участником указано: «Длина сетки, мм, 800». Согласно ГОСТ 23279-2012: «Длина сетки от 850 до 9000 мм». Участником предоставлены сведения, противоречащие ГОСТ 23279-2012.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18 «Асфальтобетонные смеси дорожные» установлено требование: «Щебень из плотных горных пород изверженных; осадочных, входящий в состав смесей, маркой по дробимости: не ниже 1200». Участником указано: «Щебень из плотных горных пород изверженных, входящий в состав смесей, маркой по дробимости: 1200». Согласно инструкции: «Двоеточие отделяет наименование показателя от требований, установленных к данному показателю (например: «Номинальная длина, м: не более 6», «Номинальная длина, м» - наименование показателя и «не более 6» - требование заказчика подлежащее конкретизации), в случае если двоеточие отсутствует в предложение участнику закупки необходимо конкретизировать требования заказчика руководствуясь положениями инструкции. Наименования показателей изменению не подлежат при этом данное правило имеет приоритет над всеми остальными».</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104148687</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18 «Асфальтобетонные смеси дорожные» установлено требование: «Щебень из плотных горных пород изверженных; осадочных, входящий в состав смесей, маркой по дробимости: не ниже 1200». Участником указано: «Щебень из плотных горных пород осадочных, входящий в состав смесей, маркой по дробимости: 1200». Согласно инструкции: «Двоеточие отделяет наименование показателя от требований, установленных к данному показателю (например: «Номинальная </w:t>
            </w:r>
            <w:r w:rsidRPr="008E612C">
              <w:rPr>
                <w:rFonts w:ascii="Times New Roman" w:hAnsi="Times New Roman" w:cs="Times New Roman"/>
                <w:sz w:val="24"/>
                <w:szCs w:val="24"/>
              </w:rPr>
              <w:lastRenderedPageBreak/>
              <w:t>длина, м: не более 6», «Номинальная длина, м» - наименование показателя и «не более 6» - требование заказчика подлежащее конкретизации), в случае если двоеточие отсутствует в предложение участнику закупки необходимо конкретизировать требования заказчика руководствуясь положениями инструкции. Наименования показателей изменению не подлежат при этом данное правило имеет приоритет над всеми остальными».</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104149519</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18 «Асфальтобетонные смеси дорожные» установлено требование: «Щебень из плотных горных пород изверженных; осадочных, входящий в состав смесей, маркой по дробимости: не ниже 1200» Указано: «Щебень из плотных горных пород изверженных, входящий в состав смесей, маркой по дробимости: 1200 (для всех представленных асфальтобетонных смесей)». Согласно инструкции: «Двоеточие отделяет наименование показателя от требований, установленных к данному показателю (например: «Номинальная длина, м: не более 6», «Номинальная длина, м» - наименование показателя и «не более 6» - требование заказчика подлежащее конкретизации), в случае если двоеточие отсутствует в предложение участнику закупки необходимо конкретизировать требования заказчика руководствуясь положениями инструкции. Наименования показателей изменению не подлежат при этом данное правило имеет приоритет над всеми остальными». Непредоставления информации, предусмотренной частью 3 статьи 66 настоящего Федерального закона, или предоставления недостоверной информации (Отказ по п. 1 ч. 4 ст. 67 44-ФЗ).  1) В позиции 3 «Калитка» установлено требование «Трубы квадратные необходимы бесшовные холоднодеформированные (электросварные), согласно ГОСТ 8639-82». Участником указано: «Трубы квадратные бесшовные холоднодеформированные (электросварные), согласно ГОСТ 8639-82». Согласно инструкции: «Символы скобки «(» «)» применяемые для выделения значений означают пояснение к </w:t>
            </w:r>
            <w:r w:rsidRPr="008E612C">
              <w:rPr>
                <w:rFonts w:ascii="Times New Roman" w:hAnsi="Times New Roman" w:cs="Times New Roman"/>
                <w:sz w:val="24"/>
                <w:szCs w:val="24"/>
              </w:rPr>
              <w:lastRenderedPageBreak/>
              <w:t>значению перед скобками, и указываются в заявке в неизменном виде, исключением является случай указания в скобках взаимоисключающих значений относительно значения перед скобками – участникам закупки необходимо выбрать и предоставить в заявке одно из взаимоисключающих значений». Согласно ГОСТ 8639-82: «3. Трубы изготавливают: - наружными размерами от 10 до 120 мм с толщиной стенки от 1,0 до 8,0 мм бесшовными холоднодеформированными, - наружными размерами от 10 до 100 мм с толщиной стенки от 0,8 до 5,0 мм электросварными и электросварными холоднодеформированными». Бесшовных  электросварных труб не существует, участником предоставлены недостоверные сведения.</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104149606</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Несоответствие информации, предусмотренной частью 3 статьи 66 Федерального закона № 44-ФЗ, требованиям документации об аукционе (Отказ по п. 2 ч. 4 ст. 67 44-ФЗ)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 «Секция ограждения» установлено требование: «Секции прикреплены к опорным трубам стальным диаметром шестьдесят миллиметров и с минимальным значением толщины стенки три миллиметра». Участником указано: «Секции прикреплены к опорным трубам стальным диаметром шестьдесят миллиметров и с толщиной стенки три миллиметра».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  2) В позиции 6 «Крепление для светильников» установлено требование: «Толщина металла крепления от двух миллиметров». Участником указано: «Толщина металла крепления два миллиметра».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w:t>
            </w:r>
          </w:p>
        </w:tc>
      </w:tr>
      <w:tr w:rsidR="00193D8D" w:rsidRPr="009E6C74" w:rsidTr="008A258B">
        <w:tc>
          <w:tcPr>
            <w:tcW w:w="796" w:type="pct"/>
            <w:tcBorders>
              <w:top w:val="single" w:sz="4" w:space="0" w:color="auto"/>
              <w:left w:val="single" w:sz="4" w:space="0" w:color="auto"/>
              <w:bottom w:val="single" w:sz="4" w:space="0" w:color="auto"/>
              <w:right w:val="single" w:sz="4" w:space="0" w:color="auto"/>
            </w:tcBorders>
            <w:vAlign w:val="center"/>
          </w:tcPr>
          <w:p w:rsidR="00193D8D" w:rsidRPr="009E6C74" w:rsidRDefault="00193D8D" w:rsidP="009F0732">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lastRenderedPageBreak/>
              <w:t>104138928</w:t>
            </w:r>
          </w:p>
        </w:tc>
        <w:tc>
          <w:tcPr>
            <w:tcW w:w="1490" w:type="pct"/>
            <w:tcBorders>
              <w:top w:val="single" w:sz="4" w:space="0" w:color="auto"/>
              <w:left w:val="single" w:sz="4" w:space="0" w:color="auto"/>
              <w:bottom w:val="single" w:sz="4" w:space="0" w:color="auto"/>
              <w:right w:val="single" w:sz="4" w:space="0" w:color="auto"/>
            </w:tcBorders>
            <w:vAlign w:val="center"/>
          </w:tcPr>
          <w:p w:rsidR="00193D8D" w:rsidRPr="00EC75CD" w:rsidRDefault="00193D8D" w:rsidP="008A258B">
            <w:pPr>
              <w:spacing w:before="120" w:after="120" w:line="240" w:lineRule="auto"/>
              <w:jc w:val="center"/>
              <w:rPr>
                <w:rFonts w:ascii="Times New Roman" w:hAnsi="Times New Roman" w:cs="Times New Roman"/>
                <w:bCs/>
                <w:sz w:val="24"/>
                <w:szCs w:val="24"/>
              </w:rPr>
            </w:pPr>
            <w:r w:rsidRPr="00EC75CD">
              <w:rPr>
                <w:rFonts w:ascii="Times New Roman" w:hAnsi="Times New Roman" w:cs="Times New Roman"/>
                <w:snapToGrid w:val="0"/>
                <w:sz w:val="24"/>
                <w:szCs w:val="24"/>
              </w:rPr>
              <w:t>Отказать участнику в допуске к участию в аукционе</w:t>
            </w:r>
          </w:p>
        </w:tc>
        <w:tc>
          <w:tcPr>
            <w:tcW w:w="2714" w:type="pct"/>
            <w:tcBorders>
              <w:top w:val="single" w:sz="4" w:space="0" w:color="auto"/>
              <w:left w:val="single" w:sz="4" w:space="0" w:color="auto"/>
              <w:bottom w:val="single" w:sz="4" w:space="0" w:color="auto"/>
              <w:right w:val="single" w:sz="4" w:space="0" w:color="auto"/>
            </w:tcBorders>
            <w:vAlign w:val="center"/>
          </w:tcPr>
          <w:p w:rsidR="00193D8D" w:rsidRPr="008E612C" w:rsidRDefault="00193D8D" w:rsidP="008A258B">
            <w:pPr>
              <w:spacing w:before="120" w:after="120" w:line="240" w:lineRule="auto"/>
              <w:jc w:val="center"/>
              <w:rPr>
                <w:rFonts w:ascii="Times New Roman" w:hAnsi="Times New Roman" w:cs="Times New Roman"/>
                <w:bCs/>
                <w:sz w:val="24"/>
                <w:szCs w:val="24"/>
              </w:rPr>
            </w:pPr>
            <w:r w:rsidRPr="008E612C">
              <w:rPr>
                <w:rFonts w:ascii="Times New Roman" w:hAnsi="Times New Roman" w:cs="Times New Roman"/>
                <w:sz w:val="24"/>
                <w:szCs w:val="24"/>
              </w:rPr>
              <w:t>Несоответствие информации, предусмотренной частью 3 статьи 66 Федерального закона № 44-ФЗ, требованиям документации об аукционе (Отказ по п. 2 ч. 4 ст. 67 44-ФЗ) Несоответствие информации, предусмотренной частью 3 статьи 66 Федерального закона № 44-ФЗ, требованиям документации об аукционе (Отказ по п. 2 ч. 4 ст. 67 44-ФЗ).  1) В позиции 1 «Секция ограждения» установлено требование: «Секции прикреплены к опорным трубам стальным диаметром шестьдесят миллиметров и с минимальным значением толщины стенки три миллиметра». Участником указано: «Секции прикреплены к опорным трубам стальным диаметром шестьдесят миллиметров и с толщиной стенки три миллиметра».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  2) В позиции 9 «Арматурные сетки сварные» установлено требование: «Ширина сетки, мм, от 650». Участником указано: «Ширина сетки, мм, 100». Согласно инструкции: «термины «более», «минимальное значение», «менее», «свыше», «от», «выше», «ниже», «максимум» значит, что характеристика, указываемая участником, должна быть более (менее) указанной Заказчиком соответственно». Участником предоставлены сведения, не соответствующие требованиям аукционной документации.</w:t>
            </w:r>
          </w:p>
        </w:tc>
      </w:tr>
    </w:tbl>
    <w:p w:rsidR="00A84009" w:rsidRPr="008B2756" w:rsidRDefault="00A84009" w:rsidP="00743252">
      <w:pPr>
        <w:spacing w:before="120" w:after="120" w:line="240" w:lineRule="auto"/>
        <w:ind w:left="-567"/>
        <w:jc w:val="both"/>
        <w:rPr>
          <w:rFonts w:ascii="Times New Roman" w:hAnsi="Times New Roman" w:cs="Times New Roman"/>
          <w:sz w:val="24"/>
          <w:szCs w:val="24"/>
          <w:lang w:val="en-US"/>
        </w:rPr>
      </w:pPr>
    </w:p>
    <w:p w:rsidR="001E1F1E" w:rsidRDefault="001E1F1E" w:rsidP="001E1F1E">
      <w:pPr>
        <w:spacing w:before="120" w:after="120" w:line="240" w:lineRule="auto"/>
        <w:ind w:left="-567"/>
        <w:jc w:val="both"/>
        <w:rPr>
          <w:rFonts w:ascii="Times New Roman" w:hAnsi="Times New Roman" w:cs="Times New Roman"/>
          <w:sz w:val="24"/>
          <w:szCs w:val="24"/>
        </w:rPr>
      </w:pPr>
    </w:p>
    <w:p w:rsidR="00A84009" w:rsidRPr="00A84009" w:rsidRDefault="00A84009" w:rsidP="00743252">
      <w:pPr>
        <w:pStyle w:val="a9"/>
        <w:numPr>
          <w:ilvl w:val="0"/>
          <w:numId w:val="1"/>
        </w:numPr>
        <w:tabs>
          <w:tab w:val="clear" w:pos="720"/>
          <w:tab w:val="num" w:pos="-567"/>
        </w:tabs>
        <w:spacing w:before="120" w:after="120" w:line="240" w:lineRule="auto"/>
        <w:ind w:left="-567"/>
        <w:jc w:val="both"/>
        <w:rPr>
          <w:rFonts w:ascii="Times New Roman" w:hAnsi="Times New Roman" w:cs="Times New Roman"/>
          <w:sz w:val="24"/>
          <w:szCs w:val="24"/>
        </w:rPr>
      </w:pPr>
      <w:r w:rsidRPr="00A84009">
        <w:rPr>
          <w:rFonts w:ascii="Times New Roman" w:hAnsi="Times New Roman" w:cs="Times New Roman"/>
          <w:sz w:val="24"/>
          <w:szCs w:val="24"/>
        </w:rPr>
        <w:t xml:space="preserve">На основании результатов рассмотрения заявок на участие в электронном аукционе и руководствуясь ст. 67 Федерального закона от 05 апреля 2013 г. №44-ФЗ аукционной комиссией принято решение о признании </w:t>
      </w:r>
      <w:r>
        <w:rPr>
          <w:rFonts w:ascii="Times New Roman" w:hAnsi="Times New Roman" w:cs="Times New Roman"/>
          <w:sz w:val="24"/>
          <w:szCs w:val="24"/>
        </w:rPr>
        <w:t xml:space="preserve">следующих </w:t>
      </w:r>
      <w:r w:rsidRPr="00A84009">
        <w:rPr>
          <w:rFonts w:ascii="Times New Roman" w:hAnsi="Times New Roman" w:cs="Times New Roman"/>
          <w:sz w:val="24"/>
          <w:szCs w:val="24"/>
        </w:rPr>
        <w:t>участников закупки, подавших заявки на участие в электронном</w:t>
      </w:r>
      <w:r>
        <w:rPr>
          <w:rFonts w:ascii="Times New Roman" w:hAnsi="Times New Roman" w:cs="Times New Roman"/>
          <w:sz w:val="24"/>
          <w:szCs w:val="24"/>
        </w:rPr>
        <w:t xml:space="preserve"> аукционе</w:t>
      </w:r>
      <w:r w:rsidR="00F645A0" w:rsidRPr="00F645A0">
        <w:rPr>
          <w:rFonts w:ascii="Times New Roman" w:hAnsi="Times New Roman" w:cs="Times New Roman"/>
          <w:sz w:val="24"/>
          <w:szCs w:val="24"/>
        </w:rPr>
        <w:t>,</w:t>
      </w:r>
      <w:r w:rsidRPr="00A84009">
        <w:rPr>
          <w:rFonts w:ascii="Times New Roman" w:hAnsi="Times New Roman" w:cs="Times New Roman"/>
          <w:sz w:val="24"/>
          <w:szCs w:val="24"/>
        </w:rPr>
        <w:t xml:space="preserve"> уч</w:t>
      </w:r>
      <w:r>
        <w:rPr>
          <w:rFonts w:ascii="Times New Roman" w:hAnsi="Times New Roman" w:cs="Times New Roman"/>
          <w:sz w:val="24"/>
          <w:szCs w:val="24"/>
        </w:rPr>
        <w:t>астниками электронного аукциона</w:t>
      </w:r>
      <w:r w:rsidRPr="00A84009">
        <w:rPr>
          <w:rFonts w:ascii="Times New Roman" w:hAnsi="Times New Roman" w:cs="Times New Roman"/>
          <w:sz w:val="24"/>
          <w:szCs w:val="24"/>
        </w:rPr>
        <w:t>:</w:t>
      </w: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69"/>
        <w:gridCol w:w="5954"/>
      </w:tblGrid>
      <w:tr w:rsidR="00A84009" w:rsidRPr="00062116" w:rsidTr="009329E8">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4009" w:rsidRPr="009E6C74" w:rsidRDefault="00843EF0" w:rsidP="00FE74C7">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Cs w:val="24"/>
              </w:rPr>
              <w:t>Идентификационный</w:t>
            </w:r>
            <w:r w:rsidRPr="004C1D73">
              <w:rPr>
                <w:rFonts w:ascii="Times New Roman" w:hAnsi="Times New Roman" w:cs="Times New Roman"/>
                <w:b/>
                <w:bCs/>
                <w:szCs w:val="24"/>
              </w:rPr>
              <w:t xml:space="preserve"> </w:t>
            </w:r>
            <w:r w:rsidR="00A84009" w:rsidRPr="009E6C74">
              <w:rPr>
                <w:rFonts w:ascii="Times New Roman" w:hAnsi="Times New Roman" w:cs="Times New Roman"/>
                <w:b/>
                <w:bCs/>
                <w:sz w:val="24"/>
                <w:szCs w:val="24"/>
              </w:rPr>
              <w:t>номер заявки</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4009" w:rsidRPr="009E6C74" w:rsidRDefault="00A84009" w:rsidP="00743252">
            <w:pPr>
              <w:spacing w:before="120" w:after="120" w:line="240" w:lineRule="auto"/>
              <w:jc w:val="center"/>
              <w:rPr>
                <w:rFonts w:ascii="Times New Roman" w:hAnsi="Times New Roman" w:cs="Times New Roman"/>
                <w:b/>
                <w:bCs/>
                <w:sz w:val="24"/>
                <w:szCs w:val="24"/>
              </w:rPr>
            </w:pPr>
            <w:r w:rsidRPr="009E6C74">
              <w:rPr>
                <w:rFonts w:ascii="Times New Roman" w:hAnsi="Times New Roman" w:cs="Times New Roman"/>
                <w:b/>
                <w:bCs/>
                <w:sz w:val="24"/>
                <w:szCs w:val="24"/>
              </w:rPr>
              <w:t>Дата и время регистрации заявки</w:t>
            </w:r>
          </w:p>
        </w:tc>
      </w:tr>
      <w:tr w:rsidR="00A84009" w:rsidRPr="009E6C74" w:rsidTr="009329E8">
        <w:tc>
          <w:tcPr>
            <w:tcW w:w="3969" w:type="dxa"/>
            <w:tcBorders>
              <w:top w:val="single" w:sz="4" w:space="0" w:color="auto"/>
              <w:left w:val="single" w:sz="4" w:space="0" w:color="auto"/>
              <w:bottom w:val="single" w:sz="4" w:space="0" w:color="auto"/>
              <w:right w:val="single" w:sz="4" w:space="0" w:color="auto"/>
            </w:tcBorders>
            <w:vAlign w:val="center"/>
          </w:tcPr>
          <w:p w:rsidR="00A84009" w:rsidRPr="009E6C74" w:rsidRDefault="008D5D89" w:rsidP="00843EF0">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104141049</w:t>
            </w:r>
          </w:p>
        </w:tc>
        <w:tc>
          <w:tcPr>
            <w:tcW w:w="5954" w:type="dxa"/>
            <w:tcBorders>
              <w:top w:val="single" w:sz="4" w:space="0" w:color="auto"/>
              <w:left w:val="single" w:sz="4" w:space="0" w:color="auto"/>
              <w:bottom w:val="single" w:sz="4" w:space="0" w:color="auto"/>
              <w:right w:val="single" w:sz="4" w:space="0" w:color="auto"/>
            </w:tcBorders>
            <w:vAlign w:val="center"/>
          </w:tcPr>
          <w:p w:rsidR="00A84009" w:rsidRPr="009E6C74" w:rsidRDefault="008D5D89" w:rsidP="00743252">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10:09:38 (по московскому времени)</w:t>
            </w:r>
          </w:p>
        </w:tc>
      </w:tr>
      <w:tr w:rsidR="00A84009" w:rsidRPr="009E6C74" w:rsidTr="009329E8">
        <w:tc>
          <w:tcPr>
            <w:tcW w:w="3969" w:type="dxa"/>
            <w:tcBorders>
              <w:top w:val="single" w:sz="4" w:space="0" w:color="auto"/>
              <w:left w:val="single" w:sz="4" w:space="0" w:color="auto"/>
              <w:bottom w:val="single" w:sz="4" w:space="0" w:color="auto"/>
              <w:right w:val="single" w:sz="4" w:space="0" w:color="auto"/>
            </w:tcBorders>
            <w:vAlign w:val="center"/>
          </w:tcPr>
          <w:p w:rsidR="00A84009" w:rsidRPr="009E6C74" w:rsidRDefault="008D5D89" w:rsidP="00843EF0">
            <w:pPr>
              <w:spacing w:before="120" w:after="120" w:line="240" w:lineRule="auto"/>
              <w:ind w:left="113"/>
              <w:jc w:val="center"/>
              <w:rPr>
                <w:rFonts w:ascii="Times New Roman" w:hAnsi="Times New Roman" w:cs="Times New Roman"/>
                <w:bCs/>
                <w:sz w:val="24"/>
                <w:szCs w:val="24"/>
              </w:rPr>
            </w:pPr>
            <w:r w:rsidRPr="009E6C74">
              <w:rPr>
                <w:rFonts w:ascii="Times New Roman" w:hAnsi="Times New Roman" w:cs="Times New Roman"/>
                <w:snapToGrid w:val="0"/>
                <w:sz w:val="24"/>
                <w:szCs w:val="24"/>
              </w:rPr>
              <w:t>104141743</w:t>
            </w:r>
          </w:p>
        </w:tc>
        <w:tc>
          <w:tcPr>
            <w:tcW w:w="5954" w:type="dxa"/>
            <w:tcBorders>
              <w:top w:val="single" w:sz="4" w:space="0" w:color="auto"/>
              <w:left w:val="single" w:sz="4" w:space="0" w:color="auto"/>
              <w:bottom w:val="single" w:sz="4" w:space="0" w:color="auto"/>
              <w:right w:val="single" w:sz="4" w:space="0" w:color="auto"/>
            </w:tcBorders>
            <w:vAlign w:val="center"/>
          </w:tcPr>
          <w:p w:rsidR="00A84009" w:rsidRPr="009E6C74" w:rsidRDefault="008D5D89" w:rsidP="00743252">
            <w:pPr>
              <w:spacing w:before="120" w:after="120" w:line="240" w:lineRule="auto"/>
              <w:jc w:val="center"/>
              <w:rPr>
                <w:rFonts w:ascii="Times New Roman" w:hAnsi="Times New Roman" w:cs="Times New Roman"/>
                <w:bCs/>
                <w:sz w:val="24"/>
                <w:szCs w:val="24"/>
                <w:lang w:val="en-US"/>
              </w:rPr>
            </w:pPr>
            <w:r w:rsidRPr="009E6C74">
              <w:rPr>
                <w:rFonts w:ascii="Times New Roman" w:hAnsi="Times New Roman" w:cs="Times New Roman"/>
                <w:bCs/>
                <w:sz w:val="24"/>
                <w:szCs w:val="24"/>
                <w:lang w:val="en-US"/>
              </w:rPr>
              <w:t>28.11.2018 11:10:25 (по московскому времени)</w:t>
            </w:r>
          </w:p>
        </w:tc>
      </w:tr>
    </w:tbl>
    <w:p w:rsidR="00A84009" w:rsidRPr="00A74544" w:rsidRDefault="00A84009" w:rsidP="00743252">
      <w:pPr>
        <w:numPr>
          <w:ilvl w:val="0"/>
          <w:numId w:val="1"/>
        </w:numPr>
        <w:tabs>
          <w:tab w:val="clear" w:pos="720"/>
          <w:tab w:val="num" w:pos="-567"/>
        </w:tabs>
        <w:spacing w:before="120" w:after="0" w:line="240" w:lineRule="auto"/>
        <w:ind w:left="-567"/>
        <w:jc w:val="both"/>
        <w:rPr>
          <w:rFonts w:ascii="Times New Roman" w:hAnsi="Times New Roman" w:cs="Times New Roman"/>
          <w:sz w:val="24"/>
          <w:szCs w:val="24"/>
        </w:rPr>
      </w:pPr>
      <w:r w:rsidRPr="00A74544">
        <w:rPr>
          <w:rFonts w:ascii="Times New Roman" w:hAnsi="Times New Roman" w:cs="Times New Roman"/>
          <w:sz w:val="24"/>
          <w:szCs w:val="24"/>
        </w:rPr>
        <w:t>П</w:t>
      </w:r>
      <w:r w:rsidRPr="00A74544">
        <w:rPr>
          <w:rFonts w:ascii="Times New Roman" w:hAnsi="Times New Roman" w:cs="Times New Roman"/>
          <w:bCs/>
          <w:sz w:val="24"/>
          <w:szCs w:val="24"/>
        </w:rPr>
        <w:t xml:space="preserve">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«РТС-тендер», по адресу в сети «Интернет»: </w:t>
      </w:r>
      <w:hyperlink r:id="rId8" w:history="1">
        <w:r w:rsidRPr="00A74544">
          <w:rPr>
            <w:rStyle w:val="a8"/>
            <w:rFonts w:ascii="Times New Roman" w:hAnsi="Times New Roman" w:cs="Times New Roman"/>
            <w:sz w:val="24"/>
            <w:szCs w:val="24"/>
          </w:rPr>
          <w:t>http://www.rts-tender.ru/</w:t>
        </w:r>
      </w:hyperlink>
      <w:r w:rsidRPr="00A74544">
        <w:rPr>
          <w:rFonts w:ascii="Times New Roman" w:hAnsi="Times New Roman" w:cs="Times New Roman"/>
          <w:sz w:val="24"/>
          <w:szCs w:val="24"/>
        </w:rPr>
        <w:t>.</w:t>
      </w:r>
    </w:p>
    <w:tbl>
      <w:tblPr>
        <w:tblpPr w:leftFromText="181" w:rightFromText="181" w:bottomFromText="200" w:vertAnchor="text" w:horzAnchor="margin" w:tblpX="-539" w:tblpY="398"/>
        <w:tblW w:w="9781" w:type="dxa"/>
        <w:tblCellMar>
          <w:left w:w="28" w:type="dxa"/>
          <w:right w:w="28" w:type="dxa"/>
        </w:tblCellMar>
        <w:tblLook w:val="04A0" w:firstRow="1" w:lastRow="0" w:firstColumn="1" w:lastColumn="0" w:noHBand="0" w:noVBand="1"/>
      </w:tblPr>
      <w:tblGrid>
        <w:gridCol w:w="3714"/>
        <w:gridCol w:w="2410"/>
        <w:gridCol w:w="3657"/>
      </w:tblGrid>
      <w:tr w:rsidR="00230454" w:rsidTr="00230454">
        <w:tc>
          <w:tcPr>
            <w:tcW w:w="3714"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2410" w:type="dxa"/>
          </w:tcPr>
          <w:p w:rsidR="00230454" w:rsidRDefault="00230454">
            <w:pPr>
              <w:pBdr>
                <w:bottom w:val="single" w:sz="12" w:space="1" w:color="auto"/>
              </w:pBdr>
              <w:spacing w:before="120" w:after="120" w:line="240" w:lineRule="auto"/>
              <w:ind w:right="114"/>
              <w:rPr>
                <w:rFonts w:ascii="Times New Roman" w:hAnsi="Times New Roman" w:cs="Times New Roman"/>
                <w:sz w:val="24"/>
                <w:szCs w:val="24"/>
              </w:rPr>
            </w:pPr>
          </w:p>
          <w:p w:rsidR="00230454" w:rsidRDefault="00230454">
            <w:pPr>
              <w:spacing w:before="120" w:after="120" w:line="240" w:lineRule="auto"/>
              <w:ind w:right="114"/>
              <w:jc w:val="center"/>
              <w:rPr>
                <w:rFonts w:ascii="Times New Roman" w:hAnsi="Times New Roman" w:cs="Times New Roman"/>
                <w:sz w:val="24"/>
                <w:szCs w:val="24"/>
              </w:rPr>
            </w:pPr>
            <w:r>
              <w:rPr>
                <w:rFonts w:ascii="Times New Roman" w:hAnsi="Times New Roman" w:cs="Times New Roman"/>
                <w:szCs w:val="24"/>
              </w:rPr>
              <w:t>(подпись)</w:t>
            </w:r>
          </w:p>
        </w:tc>
        <w:tc>
          <w:tcPr>
            <w:tcW w:w="3657"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Нестеренко Олег Александрович</w:t>
            </w:r>
          </w:p>
        </w:tc>
      </w:tr>
      <w:tr w:rsidR="00230454" w:rsidTr="00230454">
        <w:tc>
          <w:tcPr>
            <w:tcW w:w="3714"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Зам. председателя комиссии</w:t>
            </w:r>
          </w:p>
        </w:tc>
        <w:tc>
          <w:tcPr>
            <w:tcW w:w="2410" w:type="dxa"/>
          </w:tcPr>
          <w:p w:rsidR="00230454" w:rsidRDefault="00230454">
            <w:pPr>
              <w:pBdr>
                <w:bottom w:val="single" w:sz="12" w:space="1" w:color="auto"/>
              </w:pBdr>
              <w:spacing w:before="120" w:after="120" w:line="240" w:lineRule="auto"/>
              <w:ind w:right="114"/>
              <w:rPr>
                <w:rFonts w:ascii="Times New Roman" w:hAnsi="Times New Roman" w:cs="Times New Roman"/>
                <w:sz w:val="24"/>
                <w:szCs w:val="24"/>
              </w:rPr>
            </w:pPr>
          </w:p>
          <w:p w:rsidR="00230454" w:rsidRDefault="00230454">
            <w:pPr>
              <w:spacing w:before="120" w:after="120" w:line="240" w:lineRule="auto"/>
              <w:ind w:right="114"/>
              <w:jc w:val="center"/>
              <w:rPr>
                <w:rFonts w:ascii="Times New Roman" w:hAnsi="Times New Roman" w:cs="Times New Roman"/>
                <w:sz w:val="24"/>
                <w:szCs w:val="24"/>
              </w:rPr>
            </w:pPr>
            <w:r>
              <w:rPr>
                <w:rFonts w:ascii="Times New Roman" w:hAnsi="Times New Roman" w:cs="Times New Roman"/>
                <w:szCs w:val="24"/>
              </w:rPr>
              <w:t>(подпись)</w:t>
            </w:r>
          </w:p>
        </w:tc>
        <w:tc>
          <w:tcPr>
            <w:tcW w:w="3657"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Кичман Анатолий Викторович</w:t>
            </w:r>
          </w:p>
        </w:tc>
      </w:tr>
      <w:tr w:rsidR="00230454" w:rsidTr="00230454">
        <w:tc>
          <w:tcPr>
            <w:tcW w:w="3714"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410" w:type="dxa"/>
          </w:tcPr>
          <w:p w:rsidR="00230454" w:rsidRDefault="00230454">
            <w:pPr>
              <w:pBdr>
                <w:bottom w:val="single" w:sz="12" w:space="1" w:color="auto"/>
              </w:pBdr>
              <w:spacing w:before="120" w:after="120" w:line="240" w:lineRule="auto"/>
              <w:ind w:right="114"/>
              <w:rPr>
                <w:rFonts w:ascii="Times New Roman" w:hAnsi="Times New Roman" w:cs="Times New Roman"/>
                <w:sz w:val="24"/>
                <w:szCs w:val="24"/>
              </w:rPr>
            </w:pPr>
          </w:p>
          <w:p w:rsidR="00230454" w:rsidRDefault="00230454">
            <w:pPr>
              <w:spacing w:before="120" w:after="120" w:line="240" w:lineRule="auto"/>
              <w:ind w:right="114"/>
              <w:jc w:val="center"/>
              <w:rPr>
                <w:rFonts w:ascii="Times New Roman" w:hAnsi="Times New Roman" w:cs="Times New Roman"/>
                <w:sz w:val="24"/>
                <w:szCs w:val="24"/>
              </w:rPr>
            </w:pPr>
            <w:r>
              <w:rPr>
                <w:rFonts w:ascii="Times New Roman" w:hAnsi="Times New Roman" w:cs="Times New Roman"/>
                <w:szCs w:val="24"/>
              </w:rPr>
              <w:t>(подпись)</w:t>
            </w:r>
          </w:p>
        </w:tc>
        <w:tc>
          <w:tcPr>
            <w:tcW w:w="3657"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Панченко Елена Ивановна</w:t>
            </w:r>
          </w:p>
        </w:tc>
      </w:tr>
      <w:tr w:rsidR="00230454" w:rsidTr="00230454">
        <w:tc>
          <w:tcPr>
            <w:tcW w:w="3714"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410" w:type="dxa"/>
          </w:tcPr>
          <w:p w:rsidR="00230454" w:rsidRDefault="00230454">
            <w:pPr>
              <w:pBdr>
                <w:bottom w:val="single" w:sz="12" w:space="1" w:color="auto"/>
              </w:pBdr>
              <w:spacing w:before="120" w:after="120" w:line="240" w:lineRule="auto"/>
              <w:ind w:right="114"/>
              <w:rPr>
                <w:rFonts w:ascii="Times New Roman" w:hAnsi="Times New Roman" w:cs="Times New Roman"/>
                <w:sz w:val="24"/>
                <w:szCs w:val="24"/>
              </w:rPr>
            </w:pPr>
          </w:p>
          <w:p w:rsidR="00230454" w:rsidRDefault="00230454">
            <w:pPr>
              <w:spacing w:before="120" w:after="120" w:line="240" w:lineRule="auto"/>
              <w:ind w:right="114"/>
              <w:jc w:val="center"/>
              <w:rPr>
                <w:rFonts w:ascii="Times New Roman" w:hAnsi="Times New Roman" w:cs="Times New Roman"/>
                <w:sz w:val="24"/>
                <w:szCs w:val="24"/>
              </w:rPr>
            </w:pPr>
            <w:r>
              <w:rPr>
                <w:rFonts w:ascii="Times New Roman" w:hAnsi="Times New Roman" w:cs="Times New Roman"/>
                <w:szCs w:val="24"/>
              </w:rPr>
              <w:t>(подпись)</w:t>
            </w:r>
          </w:p>
        </w:tc>
        <w:tc>
          <w:tcPr>
            <w:tcW w:w="3657"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Филиппова Анна Михайловна</w:t>
            </w:r>
          </w:p>
        </w:tc>
      </w:tr>
      <w:tr w:rsidR="00230454" w:rsidTr="00230454">
        <w:tc>
          <w:tcPr>
            <w:tcW w:w="3714"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410" w:type="dxa"/>
          </w:tcPr>
          <w:p w:rsidR="00230454" w:rsidRDefault="00230454">
            <w:pPr>
              <w:pBdr>
                <w:bottom w:val="single" w:sz="12" w:space="1" w:color="auto"/>
              </w:pBdr>
              <w:spacing w:before="120" w:after="120" w:line="240" w:lineRule="auto"/>
              <w:ind w:right="114"/>
              <w:rPr>
                <w:rFonts w:ascii="Times New Roman" w:hAnsi="Times New Roman" w:cs="Times New Roman"/>
                <w:sz w:val="24"/>
                <w:szCs w:val="24"/>
              </w:rPr>
            </w:pPr>
          </w:p>
          <w:p w:rsidR="00230454" w:rsidRDefault="00230454">
            <w:pPr>
              <w:spacing w:before="120" w:after="120" w:line="240" w:lineRule="auto"/>
              <w:ind w:right="114"/>
              <w:jc w:val="center"/>
              <w:rPr>
                <w:rFonts w:ascii="Times New Roman" w:hAnsi="Times New Roman" w:cs="Times New Roman"/>
                <w:sz w:val="24"/>
                <w:szCs w:val="24"/>
              </w:rPr>
            </w:pPr>
            <w:r>
              <w:rPr>
                <w:rFonts w:ascii="Times New Roman" w:hAnsi="Times New Roman" w:cs="Times New Roman"/>
                <w:szCs w:val="24"/>
              </w:rPr>
              <w:t>(подпись)</w:t>
            </w:r>
          </w:p>
        </w:tc>
        <w:tc>
          <w:tcPr>
            <w:tcW w:w="3657" w:type="dxa"/>
            <w:hideMark/>
          </w:tcPr>
          <w:p w:rsidR="00230454" w:rsidRDefault="0023045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Герасименко Иван Александрович</w:t>
            </w:r>
          </w:p>
        </w:tc>
      </w:tr>
    </w:tbl>
    <w:p w:rsidR="00A84009" w:rsidRPr="00193D8D" w:rsidRDefault="00A84009" w:rsidP="00193D8D">
      <w:pPr>
        <w:spacing w:before="120" w:after="120" w:line="240" w:lineRule="auto"/>
        <w:contextualSpacing/>
        <w:jc w:val="both"/>
        <w:rPr>
          <w:rFonts w:ascii="Times New Roman" w:hAnsi="Times New Roman" w:cs="Times New Roman"/>
          <w:sz w:val="28"/>
          <w:szCs w:val="28"/>
        </w:rPr>
      </w:pPr>
    </w:p>
    <w:sectPr w:rsidR="00A84009" w:rsidRPr="00193D8D" w:rsidSect="001C7629">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D10"/>
    <w:multiLevelType w:val="multilevel"/>
    <w:tmpl w:val="FCC6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F514E"/>
    <w:multiLevelType w:val="multilevel"/>
    <w:tmpl w:val="0A747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3A13895"/>
    <w:multiLevelType w:val="multilevel"/>
    <w:tmpl w:val="775CA5AA"/>
    <w:lvl w:ilvl="0">
      <w:start w:val="1"/>
      <w:numFmt w:val="decimal"/>
      <w:pStyle w:val="1"/>
      <w:lvlText w:val="%1"/>
      <w:lvlJc w:val="left"/>
      <w:pPr>
        <w:ind w:left="360" w:hanging="360"/>
      </w:pPr>
      <w:rPr>
        <w:rFonts w:hint="default"/>
        <w:b/>
        <w:i w:val="0"/>
        <w:sz w:val="28"/>
      </w:rPr>
    </w:lvl>
    <w:lvl w:ilvl="1">
      <w:start w:val="1"/>
      <w:numFmt w:val="decimal"/>
      <w:pStyle w:val="2"/>
      <w:lvlText w:val="%1.%2."/>
      <w:lvlJc w:val="left"/>
      <w:pPr>
        <w:ind w:left="1440" w:hanging="720"/>
      </w:pPr>
      <w:rPr>
        <w:rFonts w:hint="default"/>
      </w:rPr>
    </w:lvl>
    <w:lvl w:ilvl="2">
      <w:start w:val="1"/>
      <w:numFmt w:val="lowerLetter"/>
      <w:pStyle w:val="3"/>
      <w:lvlText w:val="%1.%2.%3."/>
      <w:lvlJc w:val="left"/>
      <w:pPr>
        <w:ind w:left="1571" w:hanging="720"/>
      </w:pPr>
      <w:rPr>
        <w:rFonts w:hint="default"/>
      </w:rPr>
    </w:lvl>
    <w:lvl w:ilvl="3">
      <w:start w:val="1"/>
      <w:numFmt w:val="decimal"/>
      <w:pStyle w:val="4"/>
      <w:lvlText w:val="%1.%2.%3.(%4)."/>
      <w:lvlJc w:val="left"/>
      <w:pPr>
        <w:ind w:left="2880" w:hanging="720"/>
      </w:pPr>
      <w:rPr>
        <w:rFonts w:hint="default"/>
      </w:rPr>
    </w:lvl>
    <w:lvl w:ilvl="4">
      <w:start w:val="1"/>
      <w:numFmt w:val="lowerRoman"/>
      <w:pStyle w:val="5"/>
      <w:lvlText w:val="%1.%2.%3(%4)(%5)"/>
      <w:lvlJc w:val="left"/>
      <w:pPr>
        <w:ind w:left="432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D"/>
    <w:rsid w:val="000233CB"/>
    <w:rsid w:val="00036253"/>
    <w:rsid w:val="000738B3"/>
    <w:rsid w:val="000B6EF3"/>
    <w:rsid w:val="000E21AD"/>
    <w:rsid w:val="001166C4"/>
    <w:rsid w:val="0013287A"/>
    <w:rsid w:val="00137C46"/>
    <w:rsid w:val="00154723"/>
    <w:rsid w:val="001562D4"/>
    <w:rsid w:val="00182114"/>
    <w:rsid w:val="00193D8D"/>
    <w:rsid w:val="001C7629"/>
    <w:rsid w:val="001E1F1E"/>
    <w:rsid w:val="00230454"/>
    <w:rsid w:val="002426B7"/>
    <w:rsid w:val="00264CCF"/>
    <w:rsid w:val="002822FD"/>
    <w:rsid w:val="00283E01"/>
    <w:rsid w:val="002D2F73"/>
    <w:rsid w:val="002F5A1D"/>
    <w:rsid w:val="003F1430"/>
    <w:rsid w:val="00413F92"/>
    <w:rsid w:val="00444EA1"/>
    <w:rsid w:val="00462C8B"/>
    <w:rsid w:val="00481B73"/>
    <w:rsid w:val="00561FC7"/>
    <w:rsid w:val="005820BD"/>
    <w:rsid w:val="0059065B"/>
    <w:rsid w:val="00590C5E"/>
    <w:rsid w:val="005A0004"/>
    <w:rsid w:val="005A324D"/>
    <w:rsid w:val="005E1427"/>
    <w:rsid w:val="005E535F"/>
    <w:rsid w:val="006608BF"/>
    <w:rsid w:val="00662674"/>
    <w:rsid w:val="00671074"/>
    <w:rsid w:val="00677C6D"/>
    <w:rsid w:val="00690C9F"/>
    <w:rsid w:val="006D7264"/>
    <w:rsid w:val="00743252"/>
    <w:rsid w:val="007650C5"/>
    <w:rsid w:val="007A3FB2"/>
    <w:rsid w:val="00843EF0"/>
    <w:rsid w:val="008B72C1"/>
    <w:rsid w:val="008D5D89"/>
    <w:rsid w:val="008E2130"/>
    <w:rsid w:val="009329E8"/>
    <w:rsid w:val="0096176F"/>
    <w:rsid w:val="00972BF1"/>
    <w:rsid w:val="009A7B89"/>
    <w:rsid w:val="009E614C"/>
    <w:rsid w:val="009F0732"/>
    <w:rsid w:val="00A416CD"/>
    <w:rsid w:val="00A4365D"/>
    <w:rsid w:val="00A74544"/>
    <w:rsid w:val="00A84009"/>
    <w:rsid w:val="00A90D6E"/>
    <w:rsid w:val="00A97A4A"/>
    <w:rsid w:val="00AA2F61"/>
    <w:rsid w:val="00AA6513"/>
    <w:rsid w:val="00AB1A4C"/>
    <w:rsid w:val="00B14E3B"/>
    <w:rsid w:val="00B27633"/>
    <w:rsid w:val="00B43D8C"/>
    <w:rsid w:val="00BB16CA"/>
    <w:rsid w:val="00BB5071"/>
    <w:rsid w:val="00C00B25"/>
    <w:rsid w:val="00C2119A"/>
    <w:rsid w:val="00C942B7"/>
    <w:rsid w:val="00CD0EFF"/>
    <w:rsid w:val="00D53CB8"/>
    <w:rsid w:val="00D87FA3"/>
    <w:rsid w:val="00DC4DD4"/>
    <w:rsid w:val="00DD337D"/>
    <w:rsid w:val="00DE2A2A"/>
    <w:rsid w:val="00E03B18"/>
    <w:rsid w:val="00E315D1"/>
    <w:rsid w:val="00E629F1"/>
    <w:rsid w:val="00F645A0"/>
    <w:rsid w:val="00F8787A"/>
    <w:rsid w:val="00FA0568"/>
    <w:rsid w:val="00FE0214"/>
    <w:rsid w:val="00FE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C8B"/>
    <w:pPr>
      <w:keepNext/>
      <w:pageBreakBefore/>
      <w:widowControl w:val="0"/>
      <w:numPr>
        <w:numId w:val="2"/>
      </w:numPr>
      <w:shd w:val="clear" w:color="auto" w:fill="000000"/>
      <w:spacing w:before="240" w:after="240" w:line="240" w:lineRule="atLeast"/>
      <w:outlineLvl w:val="0"/>
    </w:pPr>
    <w:rPr>
      <w:rFonts w:ascii="Arial" w:eastAsia="Times New Roman" w:hAnsi="Arial" w:cs="Times New Roman"/>
      <w:b/>
      <w:caps/>
      <w:color w:val="FFFFFF"/>
      <w:sz w:val="28"/>
      <w:szCs w:val="28"/>
      <w:lang w:val="en-US"/>
    </w:rPr>
  </w:style>
  <w:style w:type="paragraph" w:styleId="2">
    <w:name w:val="heading 2"/>
    <w:basedOn w:val="a0"/>
    <w:next w:val="a"/>
    <w:link w:val="20"/>
    <w:autoRedefine/>
    <w:qFormat/>
    <w:rsid w:val="00462C8B"/>
    <w:pPr>
      <w:keepNext/>
      <w:keepLines/>
      <w:widowControl w:val="0"/>
      <w:numPr>
        <w:ilvl w:val="1"/>
        <w:numId w:val="2"/>
      </w:numPr>
      <w:pBdr>
        <w:bottom w:val="single" w:sz="4" w:space="1" w:color="auto"/>
      </w:pBdr>
      <w:tabs>
        <w:tab w:val="left" w:pos="284"/>
      </w:tabs>
      <w:spacing w:before="240" w:line="240" w:lineRule="auto"/>
      <w:ind w:left="630" w:hanging="630"/>
      <w:jc w:val="both"/>
      <w:outlineLvl w:val="1"/>
    </w:pPr>
    <w:rPr>
      <w:rFonts w:ascii="Arial" w:eastAsia="Times New Roman" w:hAnsi="Arial" w:cs="Arial"/>
      <w:b/>
      <w:bCs/>
      <w:szCs w:val="20"/>
      <w:lang w:val="en-US"/>
    </w:rPr>
  </w:style>
  <w:style w:type="paragraph" w:styleId="3">
    <w:name w:val="heading 3"/>
    <w:basedOn w:val="a"/>
    <w:next w:val="a"/>
    <w:link w:val="30"/>
    <w:autoRedefine/>
    <w:unhideWhenUsed/>
    <w:qFormat/>
    <w:rsid w:val="00462C8B"/>
    <w:pPr>
      <w:keepNext/>
      <w:numPr>
        <w:ilvl w:val="2"/>
        <w:numId w:val="2"/>
      </w:numPr>
      <w:spacing w:before="240" w:after="120"/>
      <w:ind w:left="720"/>
      <w:outlineLvl w:val="2"/>
    </w:pPr>
    <w:rPr>
      <w:rFonts w:ascii="Arial" w:eastAsia="Times New Roman" w:hAnsi="Arial" w:cs="Times New Roman"/>
      <w:b/>
      <w:bCs/>
      <w:szCs w:val="26"/>
    </w:rPr>
  </w:style>
  <w:style w:type="paragraph" w:styleId="4">
    <w:name w:val="heading 4"/>
    <w:basedOn w:val="a"/>
    <w:next w:val="a"/>
    <w:link w:val="40"/>
    <w:unhideWhenUsed/>
    <w:qFormat/>
    <w:rsid w:val="00462C8B"/>
    <w:pPr>
      <w:keepNext/>
      <w:numPr>
        <w:ilvl w:val="3"/>
        <w:numId w:val="2"/>
      </w:numPr>
      <w:spacing w:before="240" w:after="60"/>
      <w:ind w:left="1426"/>
      <w:outlineLvl w:val="3"/>
    </w:pPr>
    <w:rPr>
      <w:rFonts w:ascii="Arial" w:eastAsia="Times New Roman" w:hAnsi="Arial" w:cs="Times New Roman"/>
      <w:b/>
      <w:bCs/>
      <w:sz w:val="20"/>
      <w:szCs w:val="28"/>
      <w:lang w:val="en-US"/>
    </w:rPr>
  </w:style>
  <w:style w:type="paragraph" w:styleId="5">
    <w:name w:val="heading 5"/>
    <w:basedOn w:val="a"/>
    <w:next w:val="a"/>
    <w:link w:val="50"/>
    <w:uiPriority w:val="9"/>
    <w:qFormat/>
    <w:rsid w:val="00462C8B"/>
    <w:pPr>
      <w:keepNext/>
      <w:widowControl w:val="0"/>
      <w:numPr>
        <w:ilvl w:val="4"/>
        <w:numId w:val="2"/>
      </w:numPr>
      <w:spacing w:before="240" w:after="60" w:line="240" w:lineRule="atLeast"/>
      <w:outlineLvl w:val="4"/>
    </w:pPr>
    <w:rPr>
      <w:rFonts w:ascii="Arial" w:eastAsia="Times New Roman" w:hAnsi="Arial" w:cs="Arial"/>
      <w:sz w:val="20"/>
      <w:szCs w:val="18"/>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link w:val="a5"/>
    <w:uiPriority w:val="99"/>
    <w:semiHidden/>
    <w:unhideWhenUsed/>
    <w:rsid w:val="000E21AD"/>
    <w:pPr>
      <w:spacing w:after="0" w:line="240" w:lineRule="auto"/>
    </w:pPr>
    <w:rPr>
      <w:rFonts w:ascii="Tahoma" w:hAnsi="Tahoma" w:cs="Tahoma"/>
      <w:sz w:val="16"/>
      <w:szCs w:val="16"/>
    </w:rPr>
  </w:style>
  <w:style w:type="character" w:customStyle="1" w:styleId="a5">
    <w:name w:val="Схема документа Знак"/>
    <w:basedOn w:val="a1"/>
    <w:link w:val="a4"/>
    <w:uiPriority w:val="99"/>
    <w:semiHidden/>
    <w:rsid w:val="000E21AD"/>
    <w:rPr>
      <w:rFonts w:ascii="Tahoma" w:hAnsi="Tahoma" w:cs="Tahoma"/>
      <w:sz w:val="16"/>
      <w:szCs w:val="16"/>
    </w:rPr>
  </w:style>
  <w:style w:type="character" w:customStyle="1" w:styleId="10">
    <w:name w:val="Заголовок 1 Знак"/>
    <w:basedOn w:val="a1"/>
    <w:link w:val="1"/>
    <w:rsid w:val="00462C8B"/>
    <w:rPr>
      <w:rFonts w:ascii="Arial" w:eastAsia="Times New Roman" w:hAnsi="Arial" w:cs="Times New Roman"/>
      <w:b/>
      <w:caps/>
      <w:color w:val="FFFFFF"/>
      <w:sz w:val="28"/>
      <w:szCs w:val="28"/>
      <w:shd w:val="clear" w:color="auto" w:fill="000000"/>
      <w:lang w:val="en-US"/>
    </w:rPr>
  </w:style>
  <w:style w:type="character" w:customStyle="1" w:styleId="20">
    <w:name w:val="Заголовок 2 Знак"/>
    <w:basedOn w:val="a1"/>
    <w:link w:val="2"/>
    <w:rsid w:val="00462C8B"/>
    <w:rPr>
      <w:rFonts w:ascii="Arial" w:eastAsia="Times New Roman" w:hAnsi="Arial" w:cs="Arial"/>
      <w:b/>
      <w:bCs/>
      <w:szCs w:val="20"/>
      <w:lang w:val="en-US"/>
    </w:rPr>
  </w:style>
  <w:style w:type="character" w:customStyle="1" w:styleId="30">
    <w:name w:val="Заголовок 3 Знак"/>
    <w:basedOn w:val="a1"/>
    <w:link w:val="3"/>
    <w:rsid w:val="00462C8B"/>
    <w:rPr>
      <w:rFonts w:ascii="Arial" w:eastAsia="Times New Roman" w:hAnsi="Arial" w:cs="Times New Roman"/>
      <w:b/>
      <w:bCs/>
      <w:szCs w:val="26"/>
    </w:rPr>
  </w:style>
  <w:style w:type="character" w:customStyle="1" w:styleId="40">
    <w:name w:val="Заголовок 4 Знак"/>
    <w:basedOn w:val="a1"/>
    <w:link w:val="4"/>
    <w:rsid w:val="00462C8B"/>
    <w:rPr>
      <w:rFonts w:ascii="Arial" w:eastAsia="Times New Roman" w:hAnsi="Arial" w:cs="Times New Roman"/>
      <w:b/>
      <w:bCs/>
      <w:sz w:val="20"/>
      <w:szCs w:val="28"/>
      <w:lang w:val="en-US"/>
    </w:rPr>
  </w:style>
  <w:style w:type="character" w:customStyle="1" w:styleId="50">
    <w:name w:val="Заголовок 5 Знак"/>
    <w:basedOn w:val="a1"/>
    <w:link w:val="5"/>
    <w:uiPriority w:val="9"/>
    <w:rsid w:val="00462C8B"/>
    <w:rPr>
      <w:rFonts w:ascii="Arial" w:eastAsia="Times New Roman" w:hAnsi="Arial" w:cs="Arial"/>
      <w:sz w:val="20"/>
      <w:szCs w:val="18"/>
      <w:u w:val="single"/>
      <w:lang w:val="en-US"/>
    </w:rPr>
  </w:style>
  <w:style w:type="paragraph" w:styleId="a0">
    <w:name w:val="Body Text"/>
    <w:basedOn w:val="a"/>
    <w:link w:val="a6"/>
    <w:uiPriority w:val="99"/>
    <w:semiHidden/>
    <w:unhideWhenUsed/>
    <w:rsid w:val="00462C8B"/>
    <w:pPr>
      <w:spacing w:after="120"/>
    </w:pPr>
  </w:style>
  <w:style w:type="character" w:customStyle="1" w:styleId="a6">
    <w:name w:val="Основной текст Знак"/>
    <w:basedOn w:val="a1"/>
    <w:link w:val="a0"/>
    <w:uiPriority w:val="99"/>
    <w:semiHidden/>
    <w:rsid w:val="00462C8B"/>
  </w:style>
  <w:style w:type="paragraph" w:customStyle="1" w:styleId="TableContents">
    <w:name w:val="Table Contents"/>
    <w:basedOn w:val="a"/>
    <w:uiPriority w:val="99"/>
    <w:rsid w:val="00B43D8C"/>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paragraph" w:customStyle="1" w:styleId="TableHeading">
    <w:name w:val="Table Heading"/>
    <w:basedOn w:val="TableContents"/>
    <w:uiPriority w:val="99"/>
    <w:rsid w:val="00B43D8C"/>
    <w:pPr>
      <w:jc w:val="center"/>
    </w:pPr>
    <w:rPr>
      <w:b/>
      <w:bCs/>
    </w:rPr>
  </w:style>
  <w:style w:type="table" w:styleId="a7">
    <w:name w:val="Table Grid"/>
    <w:basedOn w:val="a2"/>
    <w:uiPriority w:val="59"/>
    <w:rsid w:val="00036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84009"/>
    <w:rPr>
      <w:color w:val="0000FF"/>
      <w:u w:val="single"/>
    </w:rPr>
  </w:style>
  <w:style w:type="paragraph" w:styleId="a9">
    <w:name w:val="List Paragraph"/>
    <w:basedOn w:val="a"/>
    <w:uiPriority w:val="34"/>
    <w:qFormat/>
    <w:rsid w:val="00A8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C8B"/>
    <w:pPr>
      <w:keepNext/>
      <w:pageBreakBefore/>
      <w:widowControl w:val="0"/>
      <w:numPr>
        <w:numId w:val="2"/>
      </w:numPr>
      <w:shd w:val="clear" w:color="auto" w:fill="000000"/>
      <w:spacing w:before="240" w:after="240" w:line="240" w:lineRule="atLeast"/>
      <w:outlineLvl w:val="0"/>
    </w:pPr>
    <w:rPr>
      <w:rFonts w:ascii="Arial" w:eastAsia="Times New Roman" w:hAnsi="Arial" w:cs="Times New Roman"/>
      <w:b/>
      <w:caps/>
      <w:color w:val="FFFFFF"/>
      <w:sz w:val="28"/>
      <w:szCs w:val="28"/>
      <w:lang w:val="en-US"/>
    </w:rPr>
  </w:style>
  <w:style w:type="paragraph" w:styleId="2">
    <w:name w:val="heading 2"/>
    <w:basedOn w:val="a0"/>
    <w:next w:val="a"/>
    <w:link w:val="20"/>
    <w:autoRedefine/>
    <w:qFormat/>
    <w:rsid w:val="00462C8B"/>
    <w:pPr>
      <w:keepNext/>
      <w:keepLines/>
      <w:widowControl w:val="0"/>
      <w:numPr>
        <w:ilvl w:val="1"/>
        <w:numId w:val="2"/>
      </w:numPr>
      <w:pBdr>
        <w:bottom w:val="single" w:sz="4" w:space="1" w:color="auto"/>
      </w:pBdr>
      <w:tabs>
        <w:tab w:val="left" w:pos="284"/>
      </w:tabs>
      <w:spacing w:before="240" w:line="240" w:lineRule="auto"/>
      <w:ind w:left="630" w:hanging="630"/>
      <w:jc w:val="both"/>
      <w:outlineLvl w:val="1"/>
    </w:pPr>
    <w:rPr>
      <w:rFonts w:ascii="Arial" w:eastAsia="Times New Roman" w:hAnsi="Arial" w:cs="Arial"/>
      <w:b/>
      <w:bCs/>
      <w:szCs w:val="20"/>
      <w:lang w:val="en-US"/>
    </w:rPr>
  </w:style>
  <w:style w:type="paragraph" w:styleId="3">
    <w:name w:val="heading 3"/>
    <w:basedOn w:val="a"/>
    <w:next w:val="a"/>
    <w:link w:val="30"/>
    <w:autoRedefine/>
    <w:unhideWhenUsed/>
    <w:qFormat/>
    <w:rsid w:val="00462C8B"/>
    <w:pPr>
      <w:keepNext/>
      <w:numPr>
        <w:ilvl w:val="2"/>
        <w:numId w:val="2"/>
      </w:numPr>
      <w:spacing w:before="240" w:after="120"/>
      <w:ind w:left="720"/>
      <w:outlineLvl w:val="2"/>
    </w:pPr>
    <w:rPr>
      <w:rFonts w:ascii="Arial" w:eastAsia="Times New Roman" w:hAnsi="Arial" w:cs="Times New Roman"/>
      <w:b/>
      <w:bCs/>
      <w:szCs w:val="26"/>
    </w:rPr>
  </w:style>
  <w:style w:type="paragraph" w:styleId="4">
    <w:name w:val="heading 4"/>
    <w:basedOn w:val="a"/>
    <w:next w:val="a"/>
    <w:link w:val="40"/>
    <w:unhideWhenUsed/>
    <w:qFormat/>
    <w:rsid w:val="00462C8B"/>
    <w:pPr>
      <w:keepNext/>
      <w:numPr>
        <w:ilvl w:val="3"/>
        <w:numId w:val="2"/>
      </w:numPr>
      <w:spacing w:before="240" w:after="60"/>
      <w:ind w:left="1426"/>
      <w:outlineLvl w:val="3"/>
    </w:pPr>
    <w:rPr>
      <w:rFonts w:ascii="Arial" w:eastAsia="Times New Roman" w:hAnsi="Arial" w:cs="Times New Roman"/>
      <w:b/>
      <w:bCs/>
      <w:sz w:val="20"/>
      <w:szCs w:val="28"/>
      <w:lang w:val="en-US"/>
    </w:rPr>
  </w:style>
  <w:style w:type="paragraph" w:styleId="5">
    <w:name w:val="heading 5"/>
    <w:basedOn w:val="a"/>
    <w:next w:val="a"/>
    <w:link w:val="50"/>
    <w:uiPriority w:val="9"/>
    <w:qFormat/>
    <w:rsid w:val="00462C8B"/>
    <w:pPr>
      <w:keepNext/>
      <w:widowControl w:val="0"/>
      <w:numPr>
        <w:ilvl w:val="4"/>
        <w:numId w:val="2"/>
      </w:numPr>
      <w:spacing w:before="240" w:after="60" w:line="240" w:lineRule="atLeast"/>
      <w:outlineLvl w:val="4"/>
    </w:pPr>
    <w:rPr>
      <w:rFonts w:ascii="Arial" w:eastAsia="Times New Roman" w:hAnsi="Arial" w:cs="Arial"/>
      <w:sz w:val="20"/>
      <w:szCs w:val="18"/>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link w:val="a5"/>
    <w:uiPriority w:val="99"/>
    <w:semiHidden/>
    <w:unhideWhenUsed/>
    <w:rsid w:val="000E21AD"/>
    <w:pPr>
      <w:spacing w:after="0" w:line="240" w:lineRule="auto"/>
    </w:pPr>
    <w:rPr>
      <w:rFonts w:ascii="Tahoma" w:hAnsi="Tahoma" w:cs="Tahoma"/>
      <w:sz w:val="16"/>
      <w:szCs w:val="16"/>
    </w:rPr>
  </w:style>
  <w:style w:type="character" w:customStyle="1" w:styleId="a5">
    <w:name w:val="Схема документа Знак"/>
    <w:basedOn w:val="a1"/>
    <w:link w:val="a4"/>
    <w:uiPriority w:val="99"/>
    <w:semiHidden/>
    <w:rsid w:val="000E21AD"/>
    <w:rPr>
      <w:rFonts w:ascii="Tahoma" w:hAnsi="Tahoma" w:cs="Tahoma"/>
      <w:sz w:val="16"/>
      <w:szCs w:val="16"/>
    </w:rPr>
  </w:style>
  <w:style w:type="character" w:customStyle="1" w:styleId="10">
    <w:name w:val="Заголовок 1 Знак"/>
    <w:basedOn w:val="a1"/>
    <w:link w:val="1"/>
    <w:rsid w:val="00462C8B"/>
    <w:rPr>
      <w:rFonts w:ascii="Arial" w:eastAsia="Times New Roman" w:hAnsi="Arial" w:cs="Times New Roman"/>
      <w:b/>
      <w:caps/>
      <w:color w:val="FFFFFF"/>
      <w:sz w:val="28"/>
      <w:szCs w:val="28"/>
      <w:shd w:val="clear" w:color="auto" w:fill="000000"/>
      <w:lang w:val="en-US"/>
    </w:rPr>
  </w:style>
  <w:style w:type="character" w:customStyle="1" w:styleId="20">
    <w:name w:val="Заголовок 2 Знак"/>
    <w:basedOn w:val="a1"/>
    <w:link w:val="2"/>
    <w:rsid w:val="00462C8B"/>
    <w:rPr>
      <w:rFonts w:ascii="Arial" w:eastAsia="Times New Roman" w:hAnsi="Arial" w:cs="Arial"/>
      <w:b/>
      <w:bCs/>
      <w:szCs w:val="20"/>
      <w:lang w:val="en-US"/>
    </w:rPr>
  </w:style>
  <w:style w:type="character" w:customStyle="1" w:styleId="30">
    <w:name w:val="Заголовок 3 Знак"/>
    <w:basedOn w:val="a1"/>
    <w:link w:val="3"/>
    <w:rsid w:val="00462C8B"/>
    <w:rPr>
      <w:rFonts w:ascii="Arial" w:eastAsia="Times New Roman" w:hAnsi="Arial" w:cs="Times New Roman"/>
      <w:b/>
      <w:bCs/>
      <w:szCs w:val="26"/>
    </w:rPr>
  </w:style>
  <w:style w:type="character" w:customStyle="1" w:styleId="40">
    <w:name w:val="Заголовок 4 Знак"/>
    <w:basedOn w:val="a1"/>
    <w:link w:val="4"/>
    <w:rsid w:val="00462C8B"/>
    <w:rPr>
      <w:rFonts w:ascii="Arial" w:eastAsia="Times New Roman" w:hAnsi="Arial" w:cs="Times New Roman"/>
      <w:b/>
      <w:bCs/>
      <w:sz w:val="20"/>
      <w:szCs w:val="28"/>
      <w:lang w:val="en-US"/>
    </w:rPr>
  </w:style>
  <w:style w:type="character" w:customStyle="1" w:styleId="50">
    <w:name w:val="Заголовок 5 Знак"/>
    <w:basedOn w:val="a1"/>
    <w:link w:val="5"/>
    <w:uiPriority w:val="9"/>
    <w:rsid w:val="00462C8B"/>
    <w:rPr>
      <w:rFonts w:ascii="Arial" w:eastAsia="Times New Roman" w:hAnsi="Arial" w:cs="Arial"/>
      <w:sz w:val="20"/>
      <w:szCs w:val="18"/>
      <w:u w:val="single"/>
      <w:lang w:val="en-US"/>
    </w:rPr>
  </w:style>
  <w:style w:type="paragraph" w:styleId="a0">
    <w:name w:val="Body Text"/>
    <w:basedOn w:val="a"/>
    <w:link w:val="a6"/>
    <w:uiPriority w:val="99"/>
    <w:semiHidden/>
    <w:unhideWhenUsed/>
    <w:rsid w:val="00462C8B"/>
    <w:pPr>
      <w:spacing w:after="120"/>
    </w:pPr>
  </w:style>
  <w:style w:type="character" w:customStyle="1" w:styleId="a6">
    <w:name w:val="Основной текст Знак"/>
    <w:basedOn w:val="a1"/>
    <w:link w:val="a0"/>
    <w:uiPriority w:val="99"/>
    <w:semiHidden/>
    <w:rsid w:val="00462C8B"/>
  </w:style>
  <w:style w:type="paragraph" w:customStyle="1" w:styleId="TableContents">
    <w:name w:val="Table Contents"/>
    <w:basedOn w:val="a"/>
    <w:uiPriority w:val="99"/>
    <w:rsid w:val="00B43D8C"/>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paragraph" w:customStyle="1" w:styleId="TableHeading">
    <w:name w:val="Table Heading"/>
    <w:basedOn w:val="TableContents"/>
    <w:uiPriority w:val="99"/>
    <w:rsid w:val="00B43D8C"/>
    <w:pPr>
      <w:jc w:val="center"/>
    </w:pPr>
    <w:rPr>
      <w:b/>
      <w:bCs/>
    </w:rPr>
  </w:style>
  <w:style w:type="table" w:styleId="a7">
    <w:name w:val="Table Grid"/>
    <w:basedOn w:val="a2"/>
    <w:uiPriority w:val="59"/>
    <w:rsid w:val="00036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84009"/>
    <w:rPr>
      <w:color w:val="0000FF"/>
      <w:u w:val="single"/>
    </w:rPr>
  </w:style>
  <w:style w:type="paragraph" w:styleId="a9">
    <w:name w:val="List Paragraph"/>
    <w:basedOn w:val="a"/>
    <w:uiPriority w:val="34"/>
    <w:qFormat/>
    <w:rsid w:val="00A8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РТС-тендер</dc:creator>
  <cp:lastModifiedBy>User</cp:lastModifiedBy>
  <cp:revision>2</cp:revision>
  <dcterms:created xsi:type="dcterms:W3CDTF">2018-12-03T19:45:00Z</dcterms:created>
  <dcterms:modified xsi:type="dcterms:W3CDTF">2018-12-03T19:45:00Z</dcterms:modified>
</cp:coreProperties>
</file>