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F7" w:rsidRPr="00007263" w:rsidRDefault="005706F7" w:rsidP="0057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07263">
        <w:rPr>
          <w:rFonts w:ascii="Times New Roman" w:hAnsi="Times New Roman"/>
        </w:rPr>
        <w:t>Не признаются конкретными показателями товара альтернативные предложения, выраженные с предлогом «до», «от»; разделительными союзами «или», «либо»; знаками «-», «;», «/», «\»; применением словосочетания «или эквивалент» (в составе документации следует считать сопровождение каждого материала словами «или эквивалент»), описываемые со словами  «более» («больше», «большей»), «менее» («меньше», «меньшей» «по меньшей мере»), «вместо» («взамен»), «</w:t>
      </w:r>
      <w:proofErr w:type="spellStart"/>
      <w:r w:rsidRPr="00007263">
        <w:rPr>
          <w:rFonts w:ascii="Times New Roman" w:hAnsi="Times New Roman"/>
        </w:rPr>
        <w:t>min</w:t>
      </w:r>
      <w:proofErr w:type="spellEnd"/>
      <w:r w:rsidRPr="00007263">
        <w:rPr>
          <w:rFonts w:ascii="Times New Roman" w:hAnsi="Times New Roman"/>
        </w:rPr>
        <w:t>» («минимум», «минимальное»), «</w:t>
      </w:r>
      <w:proofErr w:type="spellStart"/>
      <w:r w:rsidRPr="00007263">
        <w:rPr>
          <w:rFonts w:ascii="Times New Roman" w:hAnsi="Times New Roman"/>
        </w:rPr>
        <w:t>max</w:t>
      </w:r>
      <w:proofErr w:type="spellEnd"/>
      <w:r w:rsidRPr="00007263">
        <w:rPr>
          <w:rFonts w:ascii="Times New Roman" w:hAnsi="Times New Roman"/>
        </w:rPr>
        <w:t xml:space="preserve">» («максимум», «максимальное»), </w:t>
      </w:r>
      <w:r w:rsidRPr="00007263">
        <w:rPr>
          <w:rFonts w:ascii="Times New Roman" w:eastAsia="Times New Roman" w:hAnsi="Times New Roman"/>
          <w:lang w:eastAsia="ru-RU"/>
        </w:rPr>
        <w:t xml:space="preserve">«приблизительно» («около»), </w:t>
      </w:r>
      <w:r w:rsidRPr="00007263">
        <w:rPr>
          <w:rFonts w:ascii="Times New Roman" w:hAnsi="Times New Roman"/>
        </w:rPr>
        <w:t>«свыше», «превышает», «любой»,  знаками «&gt;», «&lt;», «~», «≤», «≥», «≈»,«±», «[», «]», «(», «)»,«</w:t>
      </w:r>
      <w:r w:rsidRPr="00007263">
        <w:rPr>
          <w:rFonts w:ascii="Cambria Math" w:hAnsi="Cambria Math" w:cs="Cambria Math"/>
        </w:rPr>
        <w:t>≅</w:t>
      </w:r>
      <w:r w:rsidRPr="00007263">
        <w:rPr>
          <w:rFonts w:ascii="Times New Roman" w:hAnsi="Times New Roman" w:cs="Calibri"/>
        </w:rPr>
        <w:t>»</w:t>
      </w:r>
      <w:r w:rsidRPr="00007263">
        <w:rPr>
          <w:rFonts w:ascii="Times New Roman" w:hAnsi="Times New Roman"/>
        </w:rPr>
        <w:t xml:space="preserve">. </w:t>
      </w:r>
      <w:r w:rsidRPr="00007263">
        <w:rPr>
          <w:rFonts w:ascii="Times New Roman" w:hAnsi="Times New Roman" w:cs="Calibri"/>
        </w:rPr>
        <w:t>Допускается</w:t>
      </w:r>
      <w:r w:rsidRPr="00007263">
        <w:rPr>
          <w:rFonts w:ascii="Times New Roman" w:hAnsi="Times New Roman"/>
        </w:rPr>
        <w:t xml:space="preserve"> </w:t>
      </w:r>
      <w:r w:rsidRPr="00007263">
        <w:rPr>
          <w:rFonts w:ascii="Times New Roman" w:hAnsi="Times New Roman" w:cs="Calibri"/>
        </w:rPr>
        <w:t>использование</w:t>
      </w:r>
      <w:r w:rsidRPr="00007263">
        <w:rPr>
          <w:rFonts w:ascii="Times New Roman" w:hAnsi="Times New Roman"/>
        </w:rPr>
        <w:t xml:space="preserve"> </w:t>
      </w:r>
      <w:r w:rsidRPr="00007263">
        <w:rPr>
          <w:rFonts w:ascii="Times New Roman" w:hAnsi="Times New Roman" w:cs="Calibri"/>
        </w:rPr>
        <w:t>слов</w:t>
      </w:r>
      <w:r w:rsidRPr="00007263">
        <w:rPr>
          <w:rFonts w:ascii="Times New Roman" w:hAnsi="Times New Roman"/>
        </w:rPr>
        <w:t xml:space="preserve"> </w:t>
      </w:r>
      <w:r w:rsidRPr="00007263">
        <w:rPr>
          <w:rFonts w:ascii="Times New Roman" w:hAnsi="Times New Roman" w:cs="Calibri"/>
        </w:rPr>
        <w:t>«минимальный»</w:t>
      </w:r>
      <w:r w:rsidRPr="00007263">
        <w:rPr>
          <w:rFonts w:ascii="Times New Roman" w:hAnsi="Times New Roman"/>
        </w:rPr>
        <w:t xml:space="preserve"> (</w:t>
      </w:r>
      <w:proofErr w:type="spellStart"/>
      <w:r w:rsidRPr="00007263">
        <w:rPr>
          <w:rFonts w:ascii="Times New Roman" w:hAnsi="Times New Roman"/>
        </w:rPr>
        <w:t>min</w:t>
      </w:r>
      <w:proofErr w:type="spellEnd"/>
      <w:r w:rsidRPr="00007263">
        <w:rPr>
          <w:rFonts w:ascii="Times New Roman" w:hAnsi="Times New Roman"/>
        </w:rPr>
        <w:t xml:space="preserve">), </w:t>
      </w:r>
      <w:r w:rsidRPr="00007263">
        <w:rPr>
          <w:rFonts w:ascii="Times New Roman" w:hAnsi="Times New Roman" w:cs="Calibri"/>
        </w:rPr>
        <w:t>«максимальный»</w:t>
      </w:r>
      <w:r w:rsidRPr="00007263">
        <w:rPr>
          <w:rFonts w:ascii="Times New Roman" w:hAnsi="Times New Roman"/>
        </w:rPr>
        <w:t xml:space="preserve"> (</w:t>
      </w:r>
      <w:proofErr w:type="spellStart"/>
      <w:r w:rsidRPr="00007263">
        <w:rPr>
          <w:rFonts w:ascii="Times New Roman" w:hAnsi="Times New Roman"/>
        </w:rPr>
        <w:t>max</w:t>
      </w:r>
      <w:proofErr w:type="spellEnd"/>
      <w:r w:rsidRPr="00007263">
        <w:rPr>
          <w:rFonts w:ascii="Times New Roman" w:hAnsi="Times New Roman"/>
        </w:rPr>
        <w:t xml:space="preserve">) </w:t>
      </w:r>
      <w:r w:rsidRPr="00007263">
        <w:rPr>
          <w:rFonts w:ascii="Times New Roman" w:hAnsi="Times New Roman" w:cs="Calibri"/>
        </w:rPr>
        <w:t>в</w:t>
      </w:r>
      <w:r w:rsidRPr="00007263">
        <w:rPr>
          <w:rFonts w:ascii="Times New Roman" w:hAnsi="Times New Roman"/>
        </w:rPr>
        <w:t xml:space="preserve"> </w:t>
      </w:r>
      <w:r w:rsidRPr="00007263">
        <w:rPr>
          <w:rFonts w:ascii="Times New Roman" w:hAnsi="Times New Roman" w:cs="Calibri"/>
        </w:rPr>
        <w:t>наименов</w:t>
      </w:r>
      <w:r w:rsidRPr="00007263">
        <w:rPr>
          <w:rFonts w:ascii="Times New Roman" w:hAnsi="Times New Roman"/>
        </w:rPr>
        <w:t xml:space="preserve">аниях показателей, например, «максимальное </w:t>
      </w:r>
      <w:proofErr w:type="spellStart"/>
      <w:r w:rsidRPr="00007263">
        <w:rPr>
          <w:rFonts w:ascii="Times New Roman" w:hAnsi="Times New Roman"/>
        </w:rPr>
        <w:t>водопоглощение</w:t>
      </w:r>
      <w:proofErr w:type="spellEnd"/>
      <w:r w:rsidRPr="00007263">
        <w:rPr>
          <w:rFonts w:ascii="Times New Roman" w:hAnsi="Times New Roman"/>
        </w:rPr>
        <w:t xml:space="preserve">», при этом непосредственно само значение показателя должно быть конкретным, так как отображает границу, в частности: «Максимальное </w:t>
      </w:r>
      <w:proofErr w:type="spellStart"/>
      <w:r w:rsidRPr="00007263">
        <w:rPr>
          <w:rFonts w:ascii="Times New Roman" w:hAnsi="Times New Roman"/>
        </w:rPr>
        <w:t>водопоглощение</w:t>
      </w:r>
      <w:proofErr w:type="spellEnd"/>
      <w:r w:rsidRPr="00007263">
        <w:rPr>
          <w:rFonts w:ascii="Times New Roman" w:hAnsi="Times New Roman"/>
        </w:rPr>
        <w:t xml:space="preserve"> – 1 кг/м2». Следует отметить, если в наименовании показателя есть слово «минимальный» допускается предоставление пограничного значения показателя, соответствующего указанному в документации или выше указанного в документации. Если в наименовании показателя есть слово «максимальный» допускается предоставление пограничного значения показателя, соответствующего указанному в документации или ниже указанного в документации. Альтернативные показатели могут содержаться не только в текстовой, но и в графической форме (схема, чертеж, график, изображение и др.). В случае применения участником в заявке на участие в аукционе условных обозначений или сокращений, не установленных документацией об аукционе, должна быть приведена их полная расшифровка. Значение показателя в виде диапазона значений, неконкретного показателя допустимо в исключительных случаях, а именно: если в самом наименовании показателя содержится слово:</w:t>
      </w:r>
      <w:r w:rsidRPr="00007263">
        <w:rPr>
          <w:rFonts w:ascii="Times New Roman" w:eastAsia="Times New Roman" w:hAnsi="Times New Roman"/>
          <w:vertAlign w:val="superscript"/>
          <w:lang w:eastAsia="ru-RU"/>
        </w:rPr>
        <w:footnoteReference w:id="1"/>
      </w:r>
      <w:r w:rsidRPr="00007263">
        <w:rPr>
          <w:rFonts w:ascii="Times New Roman" w:hAnsi="Times New Roman"/>
        </w:rPr>
        <w:t xml:space="preserve">  «диапазон», или «фракция», или «предел» (за исключением предельных отклонений по размерам) или «водородный показатель» («рН»), или «интервал», или «условный» или «температура», или «номинально», или «напряжение».  Знак «;» (точка с запятой) при перечислении альтернативных показателей (различных вариантов товара) в составе технического задания означает необходимость выбора одного из указанных показателей (вариантов), при этом в случае если указанный знак используется для разделения частей бессоюзного сложного предложения, данное правило не применяется. В соответствии с правилами русского языка: «Бессоюзным сложным предложением называется такое предложение, в котором образующие его части (простые предложения) связаны между собой по смыслу, интонационно, порядком расположения частей. Между частями такого предложения нет союзов. Если части бессоюзного сложного предложения отдалены друг от друга по смыслу или значительно распространены и имеют внутри себя запятые, то между ними ставится точка с запятой». Так ,например, при разделении с помощью указанного знака  однородных членов предложения, перечисленных через союз «или»; «либо» (с использованием знаков знаками «-», «;», «/», «\»; применением словосочетания «или эквивалент», использованием иных знаков, или слов, в соответствии с настоящей инструкцией, означающих необходимость указания среди альтернативных вариантов товара) в составе каждой части сложного предложения, и выступающих в качестве альтернативных показателей (различных вариантов товара) участнику необходимо выбрать один из  показателей (вариантов товара), содержащийся в каждом простом предложении, входящем с состав бессоюзного сложного, (пример: Товар «Очес льняной </w:t>
      </w:r>
      <w:proofErr w:type="spellStart"/>
      <w:r w:rsidRPr="00007263">
        <w:rPr>
          <w:rFonts w:ascii="Times New Roman" w:hAnsi="Times New Roman"/>
        </w:rPr>
        <w:t>паренцовый</w:t>
      </w:r>
      <w:proofErr w:type="spellEnd"/>
      <w:r w:rsidRPr="00007263">
        <w:rPr>
          <w:rFonts w:ascii="Times New Roman" w:hAnsi="Times New Roman"/>
        </w:rPr>
        <w:t xml:space="preserve">, или </w:t>
      </w:r>
      <w:proofErr w:type="spellStart"/>
      <w:r w:rsidRPr="00007263">
        <w:rPr>
          <w:rFonts w:ascii="Times New Roman" w:hAnsi="Times New Roman"/>
        </w:rPr>
        <w:t>моченцовый</w:t>
      </w:r>
      <w:proofErr w:type="spellEnd"/>
      <w:r w:rsidRPr="00007263">
        <w:rPr>
          <w:rFonts w:ascii="Times New Roman" w:hAnsi="Times New Roman"/>
        </w:rPr>
        <w:t xml:space="preserve"> или </w:t>
      </w:r>
      <w:proofErr w:type="spellStart"/>
      <w:r w:rsidRPr="00007263">
        <w:rPr>
          <w:rFonts w:ascii="Times New Roman" w:hAnsi="Times New Roman"/>
        </w:rPr>
        <w:t>стланцовый</w:t>
      </w:r>
      <w:proofErr w:type="spellEnd"/>
      <w:r w:rsidRPr="00007263">
        <w:rPr>
          <w:rFonts w:ascii="Times New Roman" w:hAnsi="Times New Roman"/>
        </w:rPr>
        <w:t>; 4 или 6 или 8 или 10 или 12 сорта, грубый или мягкий» участнику надлежит  указать один выбранный способ обработки и один сорт, а также выбранная характеристика «грубый или мягкий», итого: три показателя), либо при перечислении с использованием указанного знака различных конкретных показателей товара, не являющимися однородными, участнику надлежит указать все показатели (например: Цвет: серый; Связующее: цемент; Заполнитель: песок и известняк – участник указывает все конкретные показатели товара).</w:t>
      </w:r>
      <w:r w:rsidRPr="00007263">
        <w:t xml:space="preserve"> </w:t>
      </w:r>
      <w:r w:rsidRPr="002462AD">
        <w:rPr>
          <w:rFonts w:ascii="Times New Roman" w:hAnsi="Times New Roman"/>
          <w:highlight w:val="darkGray"/>
        </w:rPr>
        <w:t xml:space="preserve">При указании в наименовании показателя  размерных характеристик товара: «длина», «ширина», «высота», «глубина», «толщина», «диаметр», «радиус» сопровождающихся соединительным </w:t>
      </w:r>
      <w:r w:rsidRPr="002462AD">
        <w:rPr>
          <w:rFonts w:ascii="Times New Roman" w:hAnsi="Times New Roman"/>
          <w:highlight w:val="darkGray"/>
        </w:rPr>
        <w:lastRenderedPageBreak/>
        <w:t>союзом «и» участнику закупки необходимо указать все размерные характеристики, содержащиеся в наименовании показателя, с указанием единицы измерения, в том числе при перечислении альтернативных вариантов указанных характеристик через знаки препинания «,», «;», с использованием союзов «и», «или», символов «/», «\», а так же в соответствии с норматив</w:t>
      </w:r>
      <w:r w:rsidRPr="00007263">
        <w:rPr>
          <w:rFonts w:ascii="Times New Roman" w:hAnsi="Times New Roman"/>
        </w:rPr>
        <w:t>ным документом (при наличии), которому должен соответствовать такой товар (ГОСТ, СНиП), при этом при совпадении указанных характеристик (квадратный лист) указываются оба числовых значения: так например,  применительно к товару «фанера» при указании в техническом задании наименования показателя размерных характеристик «Длина и ширина листов фанеры, мм» и указании следующих альтернативных вариантов размерных характеристик 1200; 1220; 1250; 1500; 1525; 1800; 1830…» участнику необходимо указать значение по обоим размерным характеристикам показателя для листов фанеры – размерная характеристика  «длина» указывается конкретное числовое значение выбранное из альтернативных вариантов, выраженное в мм, показатель «ширина» указывается конкретное числовое значение выбранное из альтернативных вариантов, выраженное в мм, при этом при совпадении указанных характеристик (квадратный лист) указываются оба числовых значения «Длина и ширина листов фанеры, мм: длина 1525, ширина 1525».</w:t>
      </w:r>
    </w:p>
    <w:p w:rsidR="005706F7" w:rsidRPr="00007263" w:rsidRDefault="005706F7" w:rsidP="0057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07263">
        <w:rPr>
          <w:rFonts w:ascii="Times New Roman" w:hAnsi="Times New Roman"/>
        </w:rPr>
        <w:t xml:space="preserve">Сведения, содержащиеся в заявке участника аукциона не должны допускать двусмысленных толкований.  </w:t>
      </w:r>
      <w:r w:rsidRPr="002462AD">
        <w:rPr>
          <w:rFonts w:ascii="Times New Roman" w:hAnsi="Times New Roman"/>
          <w:highlight w:val="yellow"/>
        </w:rPr>
        <w:t xml:space="preserve">Знак </w:t>
      </w:r>
      <w:bookmarkStart w:id="0" w:name="_GoBack"/>
      <w:r w:rsidRPr="002462AD">
        <w:rPr>
          <w:rFonts w:ascii="Times New Roman" w:hAnsi="Times New Roman"/>
          <w:highlight w:val="yellow"/>
        </w:rPr>
        <w:t>«,»</w:t>
      </w:r>
      <w:bookmarkEnd w:id="0"/>
      <w:r w:rsidRPr="002462AD">
        <w:rPr>
          <w:rFonts w:ascii="Times New Roman" w:hAnsi="Times New Roman"/>
          <w:highlight w:val="yellow"/>
        </w:rPr>
        <w:t xml:space="preserve"> означает перечисление, поэтому при перечислении материалов по позициям технического задания через данный знак подразумевается совместное применение указанных товаров.</w:t>
      </w:r>
      <w:r w:rsidRPr="00007263">
        <w:rPr>
          <w:rFonts w:ascii="Times New Roman" w:hAnsi="Times New Roman"/>
        </w:rPr>
        <w:t xml:space="preserve"> В случае указания в составе документации отклонений (предельных отклонений) от установленных характеристик, сопровождающихся знаками «-» («минус») и/или «+» («плюс»), соответственно «±» («плюс минус») участнику надлежит указывать конкретное значение, соответствующее предлагаемому к поставке товару, не превышающее установленные отклонения или указывать об отсутствии таковых отклонений, за исключением: предельных отклонений по температуре/температурным характеристикам (выраженным в градусах), а также характеристик сопровождающихся знаком «%», при указании которых в заявке участнику надлежит указывать характеристику в сопровождении указанных знаков «-» («минус») и/или «+» («плюс»), соответственно «±» («плюс минус»), но не более максимального («+») и не менее минимального («-») значения. В случае если знак «/» или «\» используется для указания наименований показателей технических характеристик товара (например, разрывная нагрузка в продольном/поперечном направлениях) участник должен указать характеристики по всем указанным показателям. При указании знака знак «/» или «\» в обозначении марки (наименования) товара (например, битум БНД 90/130) указанные знаки используются не для разделения, и участнику надлежит указывать соответствующую марку (наименование) товара. Знаки «х», «*» для целей настоящей документации при указании в составе размерных характеристик товара, означают необходимость указания каждой размерной единицы, исключение: если размерные характеристики товаров, используемых для устройства натяжных (навесных) потолков, а так же иных работ, для выполнения которых используются гипсокартонные (</w:t>
      </w:r>
      <w:proofErr w:type="spellStart"/>
      <w:r w:rsidRPr="00007263">
        <w:rPr>
          <w:rFonts w:ascii="Times New Roman" w:hAnsi="Times New Roman"/>
        </w:rPr>
        <w:t>гипсоволокнистые</w:t>
      </w:r>
      <w:proofErr w:type="spellEnd"/>
      <w:r w:rsidRPr="00007263">
        <w:rPr>
          <w:rFonts w:ascii="Times New Roman" w:hAnsi="Times New Roman"/>
        </w:rPr>
        <w:t xml:space="preserve">) листы (в том числе и влагостойкие)  (таких например как устройство коробов из ГВЛ по металлическому каркасу, или облицовка стен </w:t>
      </w:r>
      <w:proofErr w:type="spellStart"/>
      <w:r w:rsidRPr="00007263">
        <w:rPr>
          <w:rFonts w:ascii="Times New Roman" w:hAnsi="Times New Roman"/>
        </w:rPr>
        <w:t>гипсоволокнистыми</w:t>
      </w:r>
      <w:proofErr w:type="spellEnd"/>
      <w:r w:rsidRPr="00007263">
        <w:rPr>
          <w:rFonts w:ascii="Times New Roman" w:hAnsi="Times New Roman"/>
        </w:rPr>
        <w:t xml:space="preserve"> (гипсокартонными) листами), а так же размер резьбы («G»), указываются через знак «/» («\»), и в данном случае участник должен указать все размерные характеристики (пример профиль ПН 28/27/0,6-L3м, дюбель с шурупом 6/35 мм). При указании диапазона числовых значений величины, выраженного в одних и тех же единицах величин, обозначение единицы величины может  указываться только за последним числовым значением диапазона, или при указании габаритных размеров через символы «х», «*», и в случае исключения установленного настоящим пунктом «/» («\») обозначение единицы величины может  указываться только за последним числовым значением габаритного размера (Например, при указании в техническом задании  товара «Бруски обрезные хвойных пород длиной 4-6,5 м, шириной 75-150 мм, толщиной 40-75 мм, IV сорта» допустимая длина и единица измерения: от 4 метров до 6,5 метров,  допустимая ширина от 75 миллиметров до 150 миллиметров, и толщина от 40 миллиметров до 75 миллиметров </w:t>
      </w:r>
      <w:r w:rsidRPr="00007263">
        <w:rPr>
          <w:rFonts w:ascii="Times New Roman" w:hAnsi="Times New Roman"/>
        </w:rPr>
        <w:lastRenderedPageBreak/>
        <w:t xml:space="preserve">соответственно, при этом единица измерения указана после последнего числового значения соответствующего габаритного размера, а надлежащее указание в составе заявки   конкретное числовое значение на выбор участника закупки из указанного диапазона например «длина 4 метра», и т.п. При указании товара «Шуруп </w:t>
      </w:r>
      <w:proofErr w:type="gramStart"/>
      <w:r w:rsidRPr="00007263">
        <w:rPr>
          <w:rFonts w:ascii="Times New Roman" w:hAnsi="Times New Roman"/>
        </w:rPr>
        <w:t>самонарезающий  3</w:t>
      </w:r>
      <w:proofErr w:type="gramEnd"/>
      <w:r w:rsidRPr="00007263">
        <w:rPr>
          <w:rFonts w:ascii="Times New Roman" w:hAnsi="Times New Roman"/>
        </w:rPr>
        <w:t xml:space="preserve">,5/25 мм» единица измерения указана после последнего числового значения, и означает, что при выполнении работ (оказании услуг) требуется товар Шуруп самонарезающий  с диаметром 3,5мм и длиной 25мм, участник при подготовке заявки указывает данный товар «Шуруп самонарезающий  3,5/25 мм»). Размеры, установленные в техническом задании, в том числе на чертежах, рисунках, фотографиях, и иных изображениях указаны в миллиметрах, если в конкретной позиции технического задания не установлено иное. При указании значений зернистости установленных через знак </w:t>
      </w:r>
      <w:proofErr w:type="gramStart"/>
      <w:r w:rsidRPr="00007263">
        <w:rPr>
          <w:rFonts w:ascii="Times New Roman" w:hAnsi="Times New Roman"/>
        </w:rPr>
        <w:t>« -</w:t>
      </w:r>
      <w:proofErr w:type="gramEnd"/>
      <w:r w:rsidRPr="00007263">
        <w:rPr>
          <w:rFonts w:ascii="Times New Roman" w:hAnsi="Times New Roman"/>
        </w:rPr>
        <w:t xml:space="preserve"> »  в отношении материала «Шкурка шлифовальная» участнику закупки необходимо указывать оба значения (зернистость верхнего и нижнего слоя материала).  Знак «~» или «≈», («приблизительно») для целей настоящей документации означает возможность отклонения указанного значения в пределах 10 % в большую или меньшую сторону. Для целей настоящей документации тождественными признаются указания единиц измерения с соответствующей степенью (например, «м2» и «м2»; «см3» и «см3» и др.), а также указание градусов Цельсия «</w:t>
      </w:r>
      <w:proofErr w:type="spellStart"/>
      <w:r w:rsidRPr="00007263">
        <w:rPr>
          <w:rFonts w:ascii="Times New Roman" w:hAnsi="Times New Roman"/>
        </w:rPr>
        <w:t>оС</w:t>
      </w:r>
      <w:proofErr w:type="spellEnd"/>
      <w:r w:rsidRPr="00007263">
        <w:rPr>
          <w:rFonts w:ascii="Times New Roman" w:hAnsi="Times New Roman"/>
        </w:rPr>
        <w:t>» и «°С» и «°» и «*С», при этом, символы «о» и «°» и «*», означают «градус»; а также индексы (количество атомов элемента) в составе химических формул (например, «SO2» и «SO2»). Для целей настоящей документации сокращение «св.» означает «свыше». Знак «Ø» («ø») для целей настоящей документации означает «диаметр». В случае указания характеристик (показателей) товара сопровождающихся термином «любой», указанные характеристики (показатели) распространяются и должны быть указаны для любого из указанных по данной товарной позиции альтернативного варианта товара, при этом не допускается указание термина «любой» в составе заявки для выбранного варианта товара, так например, при указании в техническом задании «радиаторы вид: стальные  или  чугунные или алюминиевые или биметаллические для любого вида количество секций  10, участнику надлежит выбрать вид (альтернативный вариант) товара подлежащего применению и указать, что количество секций  10.    Изображения, графики, чертежи, рисунки, схемы, в случае указания нескольких альтернативных вариантов исполнения товара, для целей настоящей документации являются неконкретными и подразумевают возможность выбора участником одного из указанных типов (видов, марок, вариантов, исполнений</w:t>
      </w:r>
      <w:r w:rsidRPr="00007263">
        <w:rPr>
          <w:rFonts w:ascii="Times New Roman" w:eastAsia="Times New Roman" w:hAnsi="Times New Roman"/>
          <w:lang w:eastAsia="ru-RU"/>
        </w:rPr>
        <w:t>, сортов, групп, моделей</w:t>
      </w:r>
      <w:r w:rsidRPr="00007263">
        <w:rPr>
          <w:rFonts w:ascii="Times New Roman" w:hAnsi="Times New Roman"/>
        </w:rPr>
        <w:t xml:space="preserve">). При перечислении в составе документации характеристик товара с описанием различных вариантов исполнения с указанием о том, что они отличаются от характеристик, установленных по данной позиции, и/или сопровождающихся словом «вариант», участнику необходимо указать один вариант исполнения. </w:t>
      </w:r>
      <w:r w:rsidRPr="005216E2">
        <w:rPr>
          <w:rFonts w:ascii="Times New Roman" w:hAnsi="Times New Roman"/>
          <w:highlight w:val="yellow"/>
        </w:rPr>
        <w:t xml:space="preserve">При указании  в составе Технического задания  «видов», «пород», «марок», «вариантов», «исполнений», «классов», «типов», «рядов», «моделей», «групп», «сортов» </w:t>
      </w:r>
      <w:r w:rsidRPr="002462AD">
        <w:rPr>
          <w:rFonts w:ascii="Times New Roman" w:hAnsi="Times New Roman"/>
          <w:color w:val="FF0000"/>
          <w:highlight w:val="yellow"/>
        </w:rPr>
        <w:t xml:space="preserve">исключительно в сопровождении вышеперечисленных терминов </w:t>
      </w:r>
      <w:r w:rsidRPr="005216E2">
        <w:rPr>
          <w:rFonts w:ascii="Times New Roman" w:hAnsi="Times New Roman"/>
          <w:highlight w:val="yellow"/>
        </w:rPr>
        <w:t>во всех словоформах необходимо указание одного из представленных в составе Технического задания  альтернативных вариантов, в том числе и при перечислении указанных вариантов через следующие знаки препинания «,» а так же «.», за исключением, если в составе Технического задания содержится прямое указание на необходимость поставки нескольких или всех альтернативных вариантов требуемого для поставки товара.</w:t>
      </w:r>
      <w:r w:rsidRPr="00007263">
        <w:rPr>
          <w:rFonts w:ascii="Times New Roman" w:hAnsi="Times New Roman"/>
        </w:rPr>
        <w:t xml:space="preserve"> При указании состава товаров (материалов) используемых для выполнения работ, в Технического задания, сопровождающегося любой из словоформ термина «состав», перечисление входящих в него компонентов через знаки «+», «,», «;», и/или сопровождение указанных компонентов словами «и», «а также», «кроме того» обозначает сочетание всех перечисленных компонентов в составе Технического задания, которые надлежит указывать в первой части заявки. При указании в составе Технического задания альтернативного варианта товара/ характеристик  товара, указанного/указанных с применением знаков «[» «]», или «(» «)» участнику необходимо выбрать один из предложенных вариантов, например «Дюбели монтажные 10х130 (10х132, 10х150) мм», в указанном случае участнику надлежит выбрать товар с одними из предложенных альтернативных размерных характеристик, при этом в случае указания различных характеристик товара с использованием данных знаков требуется </w:t>
      </w:r>
      <w:r w:rsidRPr="00007263">
        <w:rPr>
          <w:rFonts w:ascii="Times New Roman" w:hAnsi="Times New Roman"/>
        </w:rPr>
        <w:lastRenderedPageBreak/>
        <w:t xml:space="preserve">указать все соответствующие характеристики, например для товарной позиции «бетон» при указании класса и марки с использованием знаков «(» и «)» указываются и класс и марка: класс В20 (М250). Для целей указания конкретной фракции по позиции щебень (гравий) действует правило, что наименование допустимых фракций допускается указывать в первой части заявки как с предлогами, так и через знак «-» (от 4 до 8 мм; от 8 до 16 мм; от 16 до 31,5 мм; от 31,5 до 63 мм, от 63 до 90 мм) или (4-8; 8-16; 16-31,5; 31,5-63; 63-90) соответственно. Фракции песка должны быть указаны строго согласно ГОСТ, а именно: св. 2,5 до 5 мм; св. 1,25 до 2,5 мм; св. 0,63 до 1,25 мм; св. 0,315 до 0,63 мм; св. 0,16 до 0,315 мм. Смежными фракциями признаются фракции, имеющие общую границу, </w:t>
      </w:r>
      <w:proofErr w:type="gramStart"/>
      <w:r w:rsidRPr="00007263">
        <w:rPr>
          <w:rFonts w:ascii="Times New Roman" w:hAnsi="Times New Roman"/>
        </w:rPr>
        <w:t>например</w:t>
      </w:r>
      <w:proofErr w:type="gramEnd"/>
      <w:r w:rsidRPr="00007263">
        <w:rPr>
          <w:rFonts w:ascii="Times New Roman" w:hAnsi="Times New Roman"/>
        </w:rPr>
        <w:t>: 16-31,5 и 31,5-63. Материалы из древесины хвойных пород должны быть выбраны участником, должны соответствовать ГОСТ 8486-86 и могут быть только из сосны/ели/пихты/лиственницы/кедра. Материалы из древесины лиственных пород должны быть выбраны участником, должны соответствовать ГОСТ 7319-80 и могут быть только следующих пород: дуб/ясень/ильм/вяз/граб/клен/бук/береза/орех/платан/ груша/красное дерево/осина/липа/ольха/тополь/ива. Для целей настоящей документации при указании показателей товара, выраженных в числовом значении сопровождающихся знаком «</w:t>
      </w:r>
      <w:r w:rsidRPr="00007263">
        <w:rPr>
          <w:rFonts w:ascii="Cambria Math" w:hAnsi="Cambria Math" w:cs="Cambria Math"/>
        </w:rPr>
        <w:t>≅</w:t>
      </w:r>
      <w:r w:rsidRPr="00007263">
        <w:rPr>
          <w:rFonts w:ascii="Times New Roman" w:hAnsi="Times New Roman" w:cs="Calibri"/>
        </w:rPr>
        <w:t>»</w:t>
      </w:r>
      <w:r w:rsidRPr="00007263">
        <w:rPr>
          <w:rFonts w:ascii="Times New Roman" w:hAnsi="Times New Roman"/>
        </w:rPr>
        <w:t xml:space="preserve"> </w:t>
      </w:r>
      <w:r w:rsidRPr="00007263">
        <w:rPr>
          <w:rFonts w:ascii="Times New Roman" w:hAnsi="Times New Roman" w:cs="Calibri"/>
        </w:rPr>
        <w:t>участник</w:t>
      </w:r>
      <w:r w:rsidRPr="00007263">
        <w:rPr>
          <w:rFonts w:ascii="Times New Roman" w:hAnsi="Times New Roman"/>
        </w:rPr>
        <w:t xml:space="preserve"> </w:t>
      </w:r>
      <w:r w:rsidRPr="00007263">
        <w:rPr>
          <w:rFonts w:ascii="Times New Roman" w:hAnsi="Times New Roman" w:cs="Calibri"/>
        </w:rPr>
        <w:t>должен</w:t>
      </w:r>
      <w:r w:rsidRPr="00007263">
        <w:rPr>
          <w:rFonts w:ascii="Times New Roman" w:hAnsi="Times New Roman"/>
        </w:rPr>
        <w:t xml:space="preserve"> </w:t>
      </w:r>
      <w:r w:rsidRPr="00007263">
        <w:rPr>
          <w:rFonts w:ascii="Times New Roman" w:hAnsi="Times New Roman" w:cs="Calibri"/>
        </w:rPr>
        <w:t>указать</w:t>
      </w:r>
      <w:r w:rsidRPr="00007263">
        <w:rPr>
          <w:rFonts w:ascii="Times New Roman" w:hAnsi="Times New Roman"/>
        </w:rPr>
        <w:t xml:space="preserve"> </w:t>
      </w:r>
      <w:r w:rsidRPr="00007263">
        <w:rPr>
          <w:rFonts w:ascii="Times New Roman" w:hAnsi="Times New Roman" w:cs="Calibri"/>
        </w:rPr>
        <w:t>конкретное</w:t>
      </w:r>
      <w:r w:rsidRPr="00007263">
        <w:rPr>
          <w:rFonts w:ascii="Times New Roman" w:hAnsi="Times New Roman"/>
        </w:rPr>
        <w:t xml:space="preserve"> </w:t>
      </w:r>
      <w:r w:rsidRPr="00007263">
        <w:rPr>
          <w:rFonts w:ascii="Times New Roman" w:hAnsi="Times New Roman" w:cs="Calibri"/>
        </w:rPr>
        <w:t>числовое</w:t>
      </w:r>
      <w:r w:rsidRPr="00007263">
        <w:rPr>
          <w:rFonts w:ascii="Times New Roman" w:hAnsi="Times New Roman"/>
        </w:rPr>
        <w:t xml:space="preserve"> </w:t>
      </w:r>
      <w:r w:rsidRPr="00007263">
        <w:rPr>
          <w:rFonts w:ascii="Times New Roman" w:hAnsi="Times New Roman" w:cs="Calibri"/>
        </w:rPr>
        <w:t>значение</w:t>
      </w:r>
      <w:r w:rsidRPr="00007263">
        <w:rPr>
          <w:rFonts w:ascii="Times New Roman" w:hAnsi="Times New Roman"/>
        </w:rPr>
        <w:t xml:space="preserve"> (</w:t>
      </w:r>
      <w:r w:rsidRPr="00007263">
        <w:rPr>
          <w:rFonts w:ascii="Times New Roman" w:hAnsi="Times New Roman" w:cs="Calibri"/>
        </w:rPr>
        <w:t>без</w:t>
      </w:r>
      <w:r w:rsidRPr="00007263">
        <w:rPr>
          <w:rFonts w:ascii="Times New Roman" w:hAnsi="Times New Roman"/>
        </w:rPr>
        <w:t xml:space="preserve"> </w:t>
      </w:r>
      <w:r w:rsidRPr="00007263">
        <w:rPr>
          <w:rFonts w:ascii="Times New Roman" w:hAnsi="Times New Roman" w:cs="Calibri"/>
        </w:rPr>
        <w:t>указания</w:t>
      </w:r>
      <w:r w:rsidRPr="00007263">
        <w:rPr>
          <w:rFonts w:ascii="Times New Roman" w:hAnsi="Times New Roman"/>
        </w:rPr>
        <w:t xml:space="preserve"> </w:t>
      </w:r>
      <w:r w:rsidRPr="00007263">
        <w:rPr>
          <w:rFonts w:ascii="Times New Roman" w:hAnsi="Times New Roman" w:cs="Calibri"/>
        </w:rPr>
        <w:t>знака</w:t>
      </w:r>
      <w:r w:rsidRPr="00007263">
        <w:rPr>
          <w:rFonts w:ascii="Times New Roman" w:hAnsi="Times New Roman"/>
        </w:rPr>
        <w:t xml:space="preserve"> </w:t>
      </w:r>
      <w:r w:rsidRPr="00007263">
        <w:rPr>
          <w:rFonts w:ascii="Times New Roman" w:hAnsi="Times New Roman" w:cs="Calibri"/>
        </w:rPr>
        <w:t>«</w:t>
      </w:r>
      <w:r w:rsidRPr="00007263">
        <w:rPr>
          <w:rFonts w:ascii="Cambria Math" w:hAnsi="Cambria Math" w:cs="Cambria Math"/>
        </w:rPr>
        <w:t>≅</w:t>
      </w:r>
      <w:r w:rsidRPr="00007263">
        <w:rPr>
          <w:rFonts w:ascii="Times New Roman" w:hAnsi="Times New Roman" w:cs="Calibri"/>
        </w:rPr>
        <w:t>»</w:t>
      </w:r>
      <w:r w:rsidRPr="00007263">
        <w:rPr>
          <w:rFonts w:ascii="Times New Roman" w:hAnsi="Times New Roman"/>
        </w:rPr>
        <w:t xml:space="preserve">) </w:t>
      </w:r>
      <w:r w:rsidRPr="00007263">
        <w:rPr>
          <w:rFonts w:ascii="Times New Roman" w:hAnsi="Times New Roman" w:cs="Calibri"/>
        </w:rPr>
        <w:t>равное</w:t>
      </w:r>
      <w:r w:rsidRPr="00007263">
        <w:rPr>
          <w:rFonts w:ascii="Times New Roman" w:hAnsi="Times New Roman"/>
        </w:rPr>
        <w:t xml:space="preserve"> </w:t>
      </w:r>
      <w:r w:rsidRPr="00007263">
        <w:rPr>
          <w:rFonts w:ascii="Times New Roman" w:hAnsi="Times New Roman" w:cs="Calibri"/>
        </w:rPr>
        <w:t>указанному</w:t>
      </w:r>
      <w:r w:rsidRPr="00007263">
        <w:rPr>
          <w:rFonts w:ascii="Times New Roman" w:hAnsi="Times New Roman"/>
        </w:rPr>
        <w:t xml:space="preserve"> </w:t>
      </w:r>
      <w:r w:rsidRPr="00007263">
        <w:rPr>
          <w:rFonts w:ascii="Times New Roman" w:hAnsi="Times New Roman" w:cs="Calibri"/>
        </w:rPr>
        <w:t>по</w:t>
      </w:r>
      <w:r w:rsidRPr="00007263">
        <w:rPr>
          <w:rFonts w:ascii="Times New Roman" w:hAnsi="Times New Roman"/>
        </w:rPr>
        <w:t xml:space="preserve"> </w:t>
      </w:r>
      <w:r w:rsidRPr="00007263">
        <w:rPr>
          <w:rFonts w:ascii="Times New Roman" w:hAnsi="Times New Roman" w:cs="Calibri"/>
        </w:rPr>
        <w:t>данному</w:t>
      </w:r>
      <w:r w:rsidRPr="00007263">
        <w:rPr>
          <w:rFonts w:ascii="Times New Roman" w:hAnsi="Times New Roman"/>
        </w:rPr>
        <w:t xml:space="preserve"> </w:t>
      </w:r>
      <w:r w:rsidRPr="00007263">
        <w:rPr>
          <w:rFonts w:ascii="Times New Roman" w:hAnsi="Times New Roman" w:cs="Calibri"/>
        </w:rPr>
        <w:t>показателю</w:t>
      </w:r>
      <w:r w:rsidRPr="00007263">
        <w:rPr>
          <w:rFonts w:ascii="Times New Roman" w:hAnsi="Times New Roman"/>
        </w:rPr>
        <w:t xml:space="preserve"> </w:t>
      </w:r>
      <w:r w:rsidRPr="00007263">
        <w:rPr>
          <w:rFonts w:ascii="Times New Roman" w:hAnsi="Times New Roman" w:cs="Calibri"/>
        </w:rPr>
        <w:t>или</w:t>
      </w:r>
      <w:r w:rsidRPr="00007263">
        <w:rPr>
          <w:rFonts w:ascii="Times New Roman" w:hAnsi="Times New Roman"/>
        </w:rPr>
        <w:t xml:space="preserve"> </w:t>
      </w:r>
      <w:r w:rsidRPr="00007263">
        <w:rPr>
          <w:rFonts w:ascii="Times New Roman" w:hAnsi="Times New Roman" w:cs="Calibri"/>
        </w:rPr>
        <w:t>отличающееся</w:t>
      </w:r>
      <w:r w:rsidRPr="00007263">
        <w:rPr>
          <w:rFonts w:ascii="Times New Roman" w:hAnsi="Times New Roman"/>
        </w:rPr>
        <w:t xml:space="preserve"> </w:t>
      </w:r>
      <w:r w:rsidRPr="00007263">
        <w:rPr>
          <w:rFonts w:ascii="Times New Roman" w:hAnsi="Times New Roman" w:cs="Calibri"/>
        </w:rPr>
        <w:t>от</w:t>
      </w:r>
      <w:r w:rsidRPr="00007263">
        <w:rPr>
          <w:rFonts w:ascii="Times New Roman" w:hAnsi="Times New Roman"/>
        </w:rPr>
        <w:t xml:space="preserve"> </w:t>
      </w:r>
      <w:r w:rsidRPr="00007263">
        <w:rPr>
          <w:rFonts w:ascii="Times New Roman" w:hAnsi="Times New Roman" w:cs="Calibri"/>
        </w:rPr>
        <w:t>него</w:t>
      </w:r>
      <w:r w:rsidRPr="00007263">
        <w:rPr>
          <w:rFonts w:ascii="Times New Roman" w:hAnsi="Times New Roman"/>
        </w:rPr>
        <w:t xml:space="preserve"> </w:t>
      </w:r>
      <w:r w:rsidRPr="00007263">
        <w:rPr>
          <w:rFonts w:ascii="Times New Roman" w:hAnsi="Times New Roman" w:cs="Calibri"/>
        </w:rPr>
        <w:t>не</w:t>
      </w:r>
      <w:r w:rsidRPr="00007263">
        <w:rPr>
          <w:rFonts w:ascii="Times New Roman" w:hAnsi="Times New Roman"/>
        </w:rPr>
        <w:t xml:space="preserve"> </w:t>
      </w:r>
      <w:r w:rsidRPr="00007263">
        <w:rPr>
          <w:rFonts w:ascii="Times New Roman" w:hAnsi="Times New Roman" w:cs="Calibri"/>
        </w:rPr>
        <w:t>более</w:t>
      </w:r>
      <w:r w:rsidRPr="00007263">
        <w:rPr>
          <w:rFonts w:ascii="Times New Roman" w:hAnsi="Times New Roman"/>
        </w:rPr>
        <w:t xml:space="preserve"> </w:t>
      </w:r>
      <w:r w:rsidRPr="00007263">
        <w:rPr>
          <w:rFonts w:ascii="Times New Roman" w:hAnsi="Times New Roman" w:cs="Calibri"/>
        </w:rPr>
        <w:t>чем</w:t>
      </w:r>
      <w:r w:rsidRPr="00007263">
        <w:rPr>
          <w:rFonts w:ascii="Times New Roman" w:hAnsi="Times New Roman"/>
        </w:rPr>
        <w:t xml:space="preserve"> </w:t>
      </w:r>
      <w:r w:rsidRPr="00007263">
        <w:rPr>
          <w:rFonts w:ascii="Times New Roman" w:hAnsi="Times New Roman" w:cs="Calibri"/>
        </w:rPr>
        <w:t>на</w:t>
      </w:r>
      <w:r w:rsidRPr="00007263">
        <w:rPr>
          <w:rFonts w:ascii="Times New Roman" w:hAnsi="Times New Roman"/>
        </w:rPr>
        <w:t xml:space="preserve"> 10 % </w:t>
      </w:r>
      <w:r w:rsidRPr="00007263">
        <w:rPr>
          <w:rFonts w:ascii="Times New Roman" w:hAnsi="Times New Roman" w:cs="Calibri"/>
        </w:rPr>
        <w:t>в</w:t>
      </w:r>
      <w:r w:rsidRPr="00007263">
        <w:rPr>
          <w:rFonts w:ascii="Times New Roman" w:hAnsi="Times New Roman"/>
        </w:rPr>
        <w:t xml:space="preserve"> </w:t>
      </w:r>
      <w:r w:rsidRPr="00007263">
        <w:rPr>
          <w:rFonts w:ascii="Times New Roman" w:hAnsi="Times New Roman" w:cs="Calibri"/>
        </w:rPr>
        <w:t>большую</w:t>
      </w:r>
      <w:r w:rsidRPr="00007263">
        <w:rPr>
          <w:rFonts w:ascii="Times New Roman" w:hAnsi="Times New Roman"/>
        </w:rPr>
        <w:t xml:space="preserve"> </w:t>
      </w:r>
      <w:r w:rsidRPr="00007263">
        <w:rPr>
          <w:rFonts w:ascii="Times New Roman" w:hAnsi="Times New Roman" w:cs="Calibri"/>
        </w:rPr>
        <w:t>или</w:t>
      </w:r>
      <w:r w:rsidRPr="00007263">
        <w:rPr>
          <w:rFonts w:ascii="Times New Roman" w:hAnsi="Times New Roman"/>
        </w:rPr>
        <w:t xml:space="preserve"> </w:t>
      </w:r>
      <w:r w:rsidRPr="00007263">
        <w:rPr>
          <w:rFonts w:ascii="Times New Roman" w:hAnsi="Times New Roman" w:cs="Calibri"/>
        </w:rPr>
        <w:t>меньшую</w:t>
      </w:r>
      <w:r w:rsidRPr="00007263">
        <w:rPr>
          <w:rFonts w:ascii="Times New Roman" w:hAnsi="Times New Roman"/>
        </w:rPr>
        <w:t xml:space="preserve"> </w:t>
      </w:r>
      <w:r w:rsidRPr="00007263">
        <w:rPr>
          <w:rFonts w:ascii="Times New Roman" w:hAnsi="Times New Roman" w:cs="Calibri"/>
        </w:rPr>
        <w:t>сторону</w:t>
      </w:r>
      <w:r w:rsidRPr="00007263">
        <w:rPr>
          <w:rFonts w:ascii="Times New Roman" w:hAnsi="Times New Roman"/>
        </w:rPr>
        <w:t xml:space="preserve"> </w:t>
      </w:r>
      <w:r w:rsidRPr="00007263">
        <w:rPr>
          <w:rFonts w:ascii="Times New Roman" w:hAnsi="Times New Roman" w:cs="Calibri"/>
        </w:rPr>
        <w:t>числовое</w:t>
      </w:r>
      <w:r w:rsidRPr="00007263">
        <w:rPr>
          <w:rFonts w:ascii="Times New Roman" w:hAnsi="Times New Roman"/>
        </w:rPr>
        <w:t xml:space="preserve"> </w:t>
      </w:r>
      <w:r w:rsidRPr="00007263">
        <w:rPr>
          <w:rFonts w:ascii="Times New Roman" w:hAnsi="Times New Roman" w:cs="Calibri"/>
        </w:rPr>
        <w:t>значение</w:t>
      </w:r>
      <w:r w:rsidRPr="00007263">
        <w:rPr>
          <w:rFonts w:ascii="Times New Roman" w:hAnsi="Times New Roman"/>
        </w:rPr>
        <w:t xml:space="preserve">. </w:t>
      </w:r>
      <w:r w:rsidRPr="00007263">
        <w:rPr>
          <w:rFonts w:ascii="Times New Roman" w:hAnsi="Times New Roman" w:cs="Calibri"/>
        </w:rPr>
        <w:t>Если</w:t>
      </w:r>
      <w:r w:rsidRPr="00007263">
        <w:rPr>
          <w:rFonts w:ascii="Times New Roman" w:hAnsi="Times New Roman"/>
        </w:rPr>
        <w:t xml:space="preserve"> </w:t>
      </w:r>
      <w:r w:rsidRPr="00007263">
        <w:rPr>
          <w:rFonts w:ascii="Times New Roman" w:hAnsi="Times New Roman" w:cs="Calibri"/>
        </w:rPr>
        <w:t>в</w:t>
      </w:r>
      <w:r w:rsidRPr="00007263">
        <w:rPr>
          <w:rFonts w:ascii="Times New Roman" w:hAnsi="Times New Roman"/>
        </w:rPr>
        <w:t xml:space="preserve"> </w:t>
      </w:r>
      <w:r w:rsidRPr="00007263">
        <w:rPr>
          <w:rFonts w:ascii="Times New Roman" w:hAnsi="Times New Roman" w:cs="Calibri"/>
        </w:rPr>
        <w:t>составе</w:t>
      </w:r>
      <w:r w:rsidRPr="00007263">
        <w:rPr>
          <w:rFonts w:ascii="Times New Roman" w:hAnsi="Times New Roman"/>
        </w:rPr>
        <w:t xml:space="preserve"> </w:t>
      </w:r>
      <w:r w:rsidRPr="00007263">
        <w:rPr>
          <w:rFonts w:ascii="Times New Roman" w:hAnsi="Times New Roman" w:cs="Calibri"/>
        </w:rPr>
        <w:t>описания</w:t>
      </w:r>
      <w:r w:rsidRPr="00007263">
        <w:rPr>
          <w:rFonts w:ascii="Times New Roman" w:hAnsi="Times New Roman"/>
        </w:rPr>
        <w:t xml:space="preserve"> </w:t>
      </w:r>
      <w:r w:rsidRPr="00007263">
        <w:rPr>
          <w:rFonts w:ascii="Times New Roman" w:hAnsi="Times New Roman" w:cs="Calibri"/>
        </w:rPr>
        <w:t>товарн</w:t>
      </w:r>
      <w:r w:rsidRPr="00007263">
        <w:rPr>
          <w:rFonts w:ascii="Times New Roman" w:hAnsi="Times New Roman"/>
        </w:rPr>
        <w:t>ой позиции установлен чертеж, Заказчик требует соответствия используемого товара данному чертежу. Растворы строительные (цементные, известковые, цементно-известковые, цементно-глиняные) должны соответствовать "СП 82-101-98. Приготовление и применение растворов строительных" (утв. Письмом Госстроя РФ от 17.06.1998 N АБ-20-218/12), например, при указании по составу в объемной дозировке цементно-известковых растворов в рамках Технического задания диапазона числовых значений «состав от 1:0,1:2,5 до 1:0,9:8», допускается указание участником в первой части заявки конкретного состава в рамках указанного диапазона с учетом   СП 82-101-98, так участник может указать  «состав                      1:0,1:2,5» (соответственно соотношение «цемент: известковое тесто: песок»), однако при указании каких-либо дополнительных характеристик, в том числе марки раствора, вяжущего, насыпной плотности, участник указывает соответствующие выбранному составу характеристики, с учетом СП 82-101-98: например, для вышеуказанного состава  марка  (по прочности) допускается 200 или 150 или 75.</w:t>
      </w:r>
    </w:p>
    <w:p w:rsidR="005706F7" w:rsidRPr="00007263" w:rsidRDefault="005706F7" w:rsidP="0057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07263">
        <w:rPr>
          <w:rFonts w:ascii="Times New Roman" w:hAnsi="Times New Roman"/>
        </w:rPr>
        <w:t xml:space="preserve">Для целей толкования значений слов русского языка, используемых, в том числе при составлении Технического задания, следует применять толковые словари (под авторством С. И. Ожегова в качестве основного источника, под авторством В. И. Даля в качестве дополнительного источника (в случае отсутствия в основном источнике толкования необходимого слова)).  </w:t>
      </w:r>
    </w:p>
    <w:p w:rsidR="005706F7" w:rsidRPr="00007263" w:rsidRDefault="005706F7" w:rsidP="0057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07263">
        <w:rPr>
          <w:rFonts w:ascii="Times New Roman" w:hAnsi="Times New Roman"/>
        </w:rPr>
        <w:t>Требуется соблюдение требований к соответствию цветовой гаммы используемых в процессе выполнения работ (оказания услуг) материалов. Если заказчиком установлено требование к цветовой гамме материалов Участник в первой части заявки обязан предложить любой цвет, относящийся к данной цветовой гамме.</w:t>
      </w:r>
    </w:p>
    <w:p w:rsidR="005706F7" w:rsidRPr="00007263" w:rsidRDefault="005706F7" w:rsidP="0057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07263">
        <w:rPr>
          <w:rFonts w:ascii="Times New Roman" w:hAnsi="Times New Roman"/>
        </w:rPr>
        <w:t>Под «используемым в процессе работ товаром», а равно «используемым товаром», а равно «товаром» в настоящей документации понимаются вещи, которые будут переработаны в процессе работ и/или станут неотъемлемой частью результата работ. Переработка означает невозможность использования данного товара участником закупки после исполнения контракта (в том числе в связи с передачей остатков товара Заказчику с учетом требований технического задания). В указанное понятие не входит используемое в процессе работ оборудование (машины и механизмы), которое согласно технического задания обозначено как не потребляемый ресурс (использование в соответствующей графе таблицы (части текста) специальных единиц измерения, а именно: «</w:t>
      </w:r>
      <w:proofErr w:type="spellStart"/>
      <w:r w:rsidRPr="00007263">
        <w:rPr>
          <w:rFonts w:ascii="Times New Roman" w:hAnsi="Times New Roman"/>
        </w:rPr>
        <w:t>маш</w:t>
      </w:r>
      <w:proofErr w:type="spellEnd"/>
      <w:r w:rsidRPr="00007263">
        <w:rPr>
          <w:rFonts w:ascii="Times New Roman" w:hAnsi="Times New Roman"/>
        </w:rPr>
        <w:t xml:space="preserve">-ч», «чел-ч»). Таким образом, большинство используемых материалов следует считать «используемыми товарами». В настоящей документации любые сведения относительно применяемых при производстве работ машин и оборудования, трудовых ресурсах, производственных мощностях, потребляемых ресурсах, не влияющих прямо либо косвенно на </w:t>
      </w:r>
      <w:r w:rsidRPr="00007263">
        <w:rPr>
          <w:rFonts w:ascii="Times New Roman" w:hAnsi="Times New Roman"/>
        </w:rPr>
        <w:lastRenderedPageBreak/>
        <w:t xml:space="preserve">результат работ, например, топливо (при наличии подобных сведений), должны восприниматься участниками закупки исключительно как справочные данные, требованиями к выполнению работ (оказанию услуг) данные сведения не являются, при заполнении первой части заявки их внесение не требуется. </w:t>
      </w:r>
      <w:r w:rsidRPr="004C08B0">
        <w:rPr>
          <w:rFonts w:ascii="Times New Roman" w:hAnsi="Times New Roman"/>
          <w:highlight w:val="yellow"/>
        </w:rPr>
        <w:t xml:space="preserve">При указании в табличной части Технического задания и в требованиях к используемым материалам (товарам) различных вариантов исполнения товара, типов, марок, видов, размеров, моделей, материалов исполнения, модификаций (включая технические характеристики электронных приборов: номинальное напряжение, номинальный ток) указанных через знак «,» и/или сопровождающихся союзом «и», в случае если в графе табличной части Технического задания устанавливающей количество товара (материала) цифровое выражение соответствующего количества менее перечисляемых вариантов исполнения товара, типов, марок, видов, размеров, моделей, материалов исполнения, модификаций участнику надлежит выбрать не менее одного и не более максимального количественного значения указанного в соответствующей графе таблицы, (примеры: товар «Умывальники полуфарфоровые и фарфоровые с краном настольным, кронштейнами, сифоном бутылочным латунным и выпуском, полукруглые со скрытыми установочными поверхностями без спинки размером 650х500х150 мм» в табличной части указано количество комплект  1 (столбцы «Единица измерения» («Ед. </w:t>
      </w:r>
      <w:proofErr w:type="spellStart"/>
      <w:r w:rsidRPr="004C08B0">
        <w:rPr>
          <w:rFonts w:ascii="Times New Roman" w:hAnsi="Times New Roman"/>
          <w:highlight w:val="yellow"/>
        </w:rPr>
        <w:t>изм</w:t>
      </w:r>
      <w:proofErr w:type="spellEnd"/>
      <w:r w:rsidRPr="004C08B0">
        <w:rPr>
          <w:rFonts w:ascii="Times New Roman" w:hAnsi="Times New Roman"/>
          <w:highlight w:val="yellow"/>
        </w:rPr>
        <w:t>») и «количество»(«кол»)),   в данном случае участнику при описании товара в первой части заявки надлежит выбрать один вариант материала исполнения умывальника, например «Умывальники полуфарфоровые с краном настольным, кронштейнами, сифоном бутылочным латунным и выпуском, полукруглые со скрытыми установочными поверхностями без спинки размером 650х500х150 мм»; товар «Выключатели автоматические  (IEK) ВА47-29 3Р 20А, 25А»  в табличной части указано количество  шт.1 (столбцы «Единица измерения» и «количество единиц»), участнику при описании товара в первой части заявки надлежит выбрать одну модификацию товара исходя из технической характеристики, например Выключатели автоматические  (IEK) ВА47-29 3Р 20А).</w:t>
      </w:r>
      <w:r w:rsidRPr="00007263">
        <w:rPr>
          <w:rFonts w:ascii="Times New Roman" w:hAnsi="Times New Roman"/>
        </w:rPr>
        <w:tab/>
      </w:r>
      <w:r w:rsidRPr="00007263">
        <w:rPr>
          <w:rFonts w:ascii="Times New Roman" w:hAnsi="Times New Roman"/>
        </w:rPr>
        <w:tab/>
      </w:r>
    </w:p>
    <w:p w:rsidR="005706F7" w:rsidRPr="00007263" w:rsidRDefault="005706F7" w:rsidP="0057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07263">
        <w:rPr>
          <w:rFonts w:ascii="Times New Roman" w:hAnsi="Times New Roman"/>
        </w:rPr>
        <w:t>Характеристики товаров, используемых в процессе выполнения работ (оказания услуг), содержатся в Технической части (Техническом задании) настоящей документации.</w:t>
      </w:r>
    </w:p>
    <w:p w:rsidR="005706F7" w:rsidRPr="00007263" w:rsidRDefault="005706F7" w:rsidP="0057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07263">
        <w:rPr>
          <w:rFonts w:ascii="Times New Roman" w:hAnsi="Times New Roman"/>
        </w:rPr>
        <w:t xml:space="preserve">Материалы (возвратные) проходящие в Техническом задании с минусовым объемом, на пример «- 0,6 м2»), или с нулевым объемом, а также бывшие в употреблении («б/у»), не требуют какого-либо дополнительного описания в первой части заявки участника аукциона, указанные данные приведены </w:t>
      </w:r>
      <w:proofErr w:type="spellStart"/>
      <w:r w:rsidRPr="00007263">
        <w:rPr>
          <w:rFonts w:ascii="Times New Roman" w:hAnsi="Times New Roman"/>
        </w:rPr>
        <w:t>справочно</w:t>
      </w:r>
      <w:proofErr w:type="spellEnd"/>
      <w:r w:rsidRPr="00007263">
        <w:rPr>
          <w:rFonts w:ascii="Times New Roman" w:hAnsi="Times New Roman"/>
        </w:rPr>
        <w:t>, использование этих товаров при производстве работ не предполагается. При наличии в составе одной товарной позиции требования об использовании одновременно нескольких вариантов товара принимать минимальный объем использования каждого вида товара в размере двадцати процентов от общего объема товарной позиции, подлежащей применению.</w:t>
      </w:r>
    </w:p>
    <w:p w:rsidR="005706F7" w:rsidRPr="00007263" w:rsidRDefault="005706F7" w:rsidP="0057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007263">
        <w:rPr>
          <w:rFonts w:ascii="Times New Roman" w:hAnsi="Times New Roman"/>
        </w:rPr>
        <w:t>Во избежание неоднозначных толкований первой части заявки при отсутствии в ней указаний на наличие товарного знака, знака обслуживания, фирменного наименования, патента, полезной модели, промышленного образца, наименования страны  происхождения товара в отношении конкретной товарной позиции Комиссии надлежит использовать презумпцию, что «товарный знак, знак обслуживания, фирменное наименование, патент, полезная модель, промышленный образец, наименование страны происхождения товара отсутствует».</w:t>
      </w:r>
    </w:p>
    <w:p w:rsidR="00420267" w:rsidRDefault="00C92EF0"/>
    <w:sectPr w:rsidR="004202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F0" w:rsidRDefault="00C92EF0" w:rsidP="005706F7">
      <w:pPr>
        <w:spacing w:after="0" w:line="240" w:lineRule="auto"/>
      </w:pPr>
      <w:r>
        <w:separator/>
      </w:r>
    </w:p>
  </w:endnote>
  <w:endnote w:type="continuationSeparator" w:id="0">
    <w:p w:rsidR="00C92EF0" w:rsidRDefault="00C92EF0" w:rsidP="0057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F0" w:rsidRDefault="00C92EF0" w:rsidP="005706F7">
      <w:pPr>
        <w:spacing w:after="0" w:line="240" w:lineRule="auto"/>
      </w:pPr>
      <w:r>
        <w:separator/>
      </w:r>
    </w:p>
  </w:footnote>
  <w:footnote w:type="continuationSeparator" w:id="0">
    <w:p w:rsidR="00C92EF0" w:rsidRDefault="00C92EF0" w:rsidP="005706F7">
      <w:pPr>
        <w:spacing w:after="0" w:line="240" w:lineRule="auto"/>
      </w:pPr>
      <w:r>
        <w:continuationSeparator/>
      </w:r>
    </w:p>
  </w:footnote>
  <w:footnote w:id="1">
    <w:p w:rsidR="005706F7" w:rsidRDefault="005706F7" w:rsidP="005706F7">
      <w:pPr>
        <w:pStyle w:val="a3"/>
      </w:pPr>
      <w:r>
        <w:rPr>
          <w:rStyle w:val="a5"/>
        </w:rPr>
        <w:footnoteRef/>
      </w:r>
      <w:r>
        <w:t xml:space="preserve"> </w:t>
      </w:r>
      <w:r w:rsidRPr="00D1302D">
        <w:rPr>
          <w:rFonts w:ascii="Times New Roman" w:hAnsi="Times New Roman"/>
        </w:rPr>
        <w:t>Включая все словоформы указанных терминов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95"/>
    <w:rsid w:val="000040EF"/>
    <w:rsid w:val="002462AD"/>
    <w:rsid w:val="004C08B0"/>
    <w:rsid w:val="005216E2"/>
    <w:rsid w:val="005706F7"/>
    <w:rsid w:val="007313EB"/>
    <w:rsid w:val="00846362"/>
    <w:rsid w:val="00B56095"/>
    <w:rsid w:val="00C92EF0"/>
    <w:rsid w:val="00E9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3DCE1-5AD4-4AA5-A0FF-219316B4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Title"/>
    <w:basedOn w:val="a"/>
    <w:link w:val="a4"/>
    <w:unhideWhenUsed/>
    <w:rsid w:val="005706F7"/>
    <w:pPr>
      <w:spacing w:after="0" w:line="240" w:lineRule="auto"/>
    </w:pPr>
    <w:rPr>
      <w:sz w:val="20"/>
      <w:szCs w:val="20"/>
    </w:rPr>
  </w:style>
  <w:style w:type="character" w:customStyle="1" w:styleId="a4">
    <w:name w:val="Текст сноски Знак"/>
    <w:aliases w:val="Знак2 Знак,Title Знак"/>
    <w:basedOn w:val="a0"/>
    <w:link w:val="a3"/>
    <w:rsid w:val="005706F7"/>
    <w:rPr>
      <w:rFonts w:ascii="Calibri" w:eastAsia="Calibri" w:hAnsi="Calibri" w:cs="Times New Roman"/>
      <w:sz w:val="20"/>
      <w:szCs w:val="20"/>
    </w:rPr>
  </w:style>
  <w:style w:type="character" w:styleId="a5">
    <w:name w:val="footnote reference"/>
    <w:uiPriority w:val="99"/>
    <w:unhideWhenUsed/>
    <w:rsid w:val="00570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2018-05-05T09:04:00Z</dcterms:created>
  <dcterms:modified xsi:type="dcterms:W3CDTF">2018-05-05T14:00:00Z</dcterms:modified>
</cp:coreProperties>
</file>