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7E" w:rsidRPr="00BD2B7E" w:rsidRDefault="00BD2B7E" w:rsidP="00BD2B7E">
      <w:pPr>
        <w:pStyle w:val="3"/>
        <w:tabs>
          <w:tab w:val="left" w:pos="1260"/>
        </w:tabs>
        <w:spacing w:before="0" w:after="0"/>
        <w:ind w:firstLine="709"/>
        <w:rPr>
          <w:rFonts w:ascii="Times New Roman" w:hAnsi="Times New Roman"/>
          <w:u w:val="single"/>
          <w:lang w:val="ru-RU"/>
        </w:rPr>
      </w:pPr>
      <w:bookmarkStart w:id="0" w:name="_Toc416278289"/>
      <w:r w:rsidRPr="00BD2B7E">
        <w:rPr>
          <w:rFonts w:ascii="Times New Roman" w:hAnsi="Times New Roman"/>
          <w:u w:val="single"/>
          <w:lang w:val="ru-RU"/>
        </w:rPr>
        <w:t xml:space="preserve">Из общей части АД: </w:t>
      </w:r>
    </w:p>
    <w:p w:rsidR="00BD2B7E" w:rsidRPr="00E86FC4" w:rsidRDefault="00BD2B7E" w:rsidP="00BD2B7E">
      <w:pPr>
        <w:pStyle w:val="3"/>
        <w:tabs>
          <w:tab w:val="left" w:pos="1260"/>
        </w:tabs>
        <w:spacing w:before="0" w:after="0"/>
        <w:ind w:firstLine="709"/>
        <w:rPr>
          <w:rFonts w:ascii="Times New Roman" w:hAnsi="Times New Roman"/>
          <w:color w:val="000000"/>
        </w:rPr>
      </w:pPr>
      <w:r w:rsidRPr="00E86FC4">
        <w:rPr>
          <w:rFonts w:ascii="Times New Roman" w:hAnsi="Times New Roman"/>
        </w:rPr>
        <w:t>3.2.</w:t>
      </w:r>
      <w:r w:rsidRPr="00E86FC4">
        <w:rPr>
          <w:rFonts w:ascii="Times New Roman" w:hAnsi="Times New Roman"/>
        </w:rPr>
        <w:tab/>
        <w:t xml:space="preserve">Требования к заявке и документам, входящим в состав заявки на участие в </w:t>
      </w:r>
      <w:r w:rsidRPr="00E86FC4">
        <w:rPr>
          <w:rFonts w:ascii="Times New Roman" w:hAnsi="Times New Roman"/>
          <w:color w:val="000000"/>
        </w:rPr>
        <w:t>аукционе.</w:t>
      </w:r>
      <w:bookmarkEnd w:id="0"/>
    </w:p>
    <w:p w:rsidR="00BD2B7E" w:rsidRPr="00E86FC4" w:rsidRDefault="00BD2B7E" w:rsidP="00BD2B7E">
      <w:pPr>
        <w:keepNext/>
        <w:autoSpaceDE w:val="0"/>
        <w:autoSpaceDN w:val="0"/>
        <w:adjustRightInd w:val="0"/>
        <w:ind w:firstLine="709"/>
      </w:pPr>
      <w:r w:rsidRPr="00E86FC4">
        <w:t>3.2.1.</w:t>
      </w:r>
      <w:r w:rsidRPr="00E86FC4">
        <w:tab/>
        <w:t>Заявка на участие в  аукционе состоит из двух частей.</w:t>
      </w:r>
    </w:p>
    <w:p w:rsidR="00BD2B7E" w:rsidRPr="00E86FC4" w:rsidRDefault="00BD2B7E" w:rsidP="00BD2B7E">
      <w:pPr>
        <w:keepNext/>
        <w:numPr>
          <w:ilvl w:val="2"/>
          <w:numId w:val="1"/>
        </w:numPr>
        <w:tabs>
          <w:tab w:val="clear" w:pos="2130"/>
          <w:tab w:val="num" w:pos="-2340"/>
          <w:tab w:val="left" w:pos="-1620"/>
        </w:tabs>
        <w:ind w:left="0" w:firstLine="709"/>
      </w:pPr>
      <w:r w:rsidRPr="00E86FC4">
        <w:t>Первая часть заявки на участие в электронном аукционе должна содержать указанную в одном из следующих подпунктов информацию:</w:t>
      </w:r>
    </w:p>
    <w:p w:rsidR="00BD2B7E" w:rsidRPr="00E86FC4" w:rsidRDefault="00BD2B7E" w:rsidP="00BD2B7E">
      <w:pPr>
        <w:keepNext/>
        <w:autoSpaceDE w:val="0"/>
        <w:autoSpaceDN w:val="0"/>
        <w:adjustRightInd w:val="0"/>
        <w:ind w:firstLine="709"/>
      </w:pPr>
      <w:r w:rsidRPr="00E86FC4">
        <w:t xml:space="preserve">3.2.2.1. При заключении контракта на поставку товара: </w:t>
      </w:r>
    </w:p>
    <w:p w:rsidR="00BD2B7E" w:rsidRPr="00E86FC4" w:rsidRDefault="00BD2B7E" w:rsidP="00BD2B7E">
      <w:pPr>
        <w:pStyle w:val="ConsPlusNormal"/>
        <w:keepNext/>
        <w:widowControl/>
        <w:ind w:firstLine="709"/>
        <w:jc w:val="both"/>
        <w:rPr>
          <w:rFonts w:ascii="Times New Roman" w:eastAsia="Calibri" w:hAnsi="Times New Roman" w:cs="Times New Roman"/>
          <w:sz w:val="24"/>
          <w:szCs w:val="24"/>
        </w:rPr>
      </w:pPr>
      <w:proofErr w:type="gramStart"/>
      <w:r w:rsidRPr="00E86FC4">
        <w:rPr>
          <w:rFonts w:ascii="Times New Roman" w:hAnsi="Times New Roman" w:cs="Times New Roman"/>
          <w:sz w:val="24"/>
          <w:szCs w:val="24"/>
        </w:rPr>
        <w:t xml:space="preserve">а) </w:t>
      </w:r>
      <w:r w:rsidRPr="00E86FC4">
        <w:rPr>
          <w:rFonts w:ascii="Times New Roman" w:eastAsia="Calibri" w:hAnsi="Times New Roman" w:cs="Times New Roman"/>
          <w:sz w:val="24"/>
          <w:szCs w:val="24"/>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E86FC4">
        <w:rPr>
          <w:rFonts w:ascii="Times New Roman" w:eastAsia="Calibri" w:hAnsi="Times New Roman" w:cs="Times New Roman"/>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D2B7E" w:rsidRPr="00E86FC4" w:rsidRDefault="00BD2B7E" w:rsidP="00BD2B7E">
      <w:pPr>
        <w:pStyle w:val="ConsPlusNormal"/>
        <w:keepNext/>
        <w:widowControl/>
        <w:ind w:firstLine="709"/>
        <w:jc w:val="both"/>
        <w:rPr>
          <w:rFonts w:ascii="Times New Roman" w:eastAsia="Calibri" w:hAnsi="Times New Roman" w:cs="Times New Roman"/>
          <w:sz w:val="24"/>
          <w:szCs w:val="24"/>
        </w:rPr>
      </w:pPr>
      <w:proofErr w:type="gramStart"/>
      <w:r w:rsidRPr="00E86FC4">
        <w:rPr>
          <w:rFonts w:ascii="Times New Roman" w:eastAsia="Calibri"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D2B7E" w:rsidRPr="00E86FC4" w:rsidRDefault="00BD2B7E" w:rsidP="00BD2B7E">
      <w:pPr>
        <w:keepNext/>
        <w:autoSpaceDE w:val="0"/>
        <w:autoSpaceDN w:val="0"/>
        <w:adjustRightInd w:val="0"/>
        <w:ind w:firstLine="709"/>
        <w:outlineLvl w:val="1"/>
      </w:pPr>
      <w:bookmarkStart w:id="1" w:name="_Toc416278290"/>
      <w:r w:rsidRPr="00E86FC4">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bookmarkEnd w:id="1"/>
    </w:p>
    <w:p w:rsidR="00BD2B7E" w:rsidRPr="00E86FC4" w:rsidRDefault="00BD2B7E" w:rsidP="00BD2B7E">
      <w:pPr>
        <w:keepNext/>
        <w:autoSpaceDE w:val="0"/>
        <w:autoSpaceDN w:val="0"/>
        <w:adjustRightInd w:val="0"/>
        <w:ind w:firstLine="709"/>
        <w:outlineLvl w:val="1"/>
      </w:pPr>
      <w:bookmarkStart w:id="2" w:name="_Toc416278291"/>
      <w:r w:rsidRPr="00E86FC4">
        <w:t>3.2.2.3. При заключении контракта на выполнение работы или оказание услуги, для выполнения или оказания которых используется товар:</w:t>
      </w:r>
      <w:bookmarkEnd w:id="2"/>
    </w:p>
    <w:p w:rsidR="00BD2B7E" w:rsidRPr="00E86FC4" w:rsidRDefault="00BD2B7E" w:rsidP="00BD2B7E">
      <w:pPr>
        <w:keepNext/>
        <w:autoSpaceDE w:val="0"/>
        <w:autoSpaceDN w:val="0"/>
        <w:adjustRightInd w:val="0"/>
        <w:ind w:firstLine="709"/>
        <w:rPr>
          <w:rFonts w:eastAsia="Calibri"/>
        </w:rPr>
      </w:pPr>
      <w:proofErr w:type="gramStart"/>
      <w:r w:rsidRPr="00E86FC4">
        <w:t xml:space="preserve">а) </w:t>
      </w:r>
      <w:r w:rsidRPr="00E86FC4">
        <w:rPr>
          <w:rFonts w:eastAsia="Calibri"/>
        </w:rPr>
        <w:t xml:space="preserve">согласие, </w:t>
      </w:r>
      <w:r w:rsidRPr="00E86FC4">
        <w:t xml:space="preserve">предусмотренное </w:t>
      </w:r>
      <w:hyperlink r:id="rId6" w:history="1">
        <w:r w:rsidRPr="00E86FC4">
          <w:t>пунктом 3.2.2.2</w:t>
        </w:r>
      </w:hyperlink>
      <w:r w:rsidRPr="00E86FC4">
        <w:t xml:space="preserve"> настоящей части</w:t>
      </w:r>
      <w:r w:rsidRPr="00E86FC4">
        <w:rPr>
          <w:rFonts w:eastAsia="Calibri"/>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w:t>
      </w:r>
      <w:r w:rsidRPr="00E86FC4">
        <w:t xml:space="preserve">предусмотренное </w:t>
      </w:r>
      <w:hyperlink r:id="rId7" w:history="1">
        <w:r w:rsidRPr="00E86FC4">
          <w:t>пунктом 3.2.2.2</w:t>
        </w:r>
        <w:proofErr w:type="gramEnd"/>
      </w:hyperlink>
      <w:r w:rsidRPr="00E86FC4">
        <w:t xml:space="preserve"> </w:t>
      </w:r>
      <w:proofErr w:type="gramStart"/>
      <w:r w:rsidRPr="00E86FC4">
        <w:t>настоящей части</w:t>
      </w:r>
      <w:r w:rsidRPr="00E86FC4">
        <w:rPr>
          <w:rFonts w:eastAsia="Calibri"/>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E86FC4">
        <w:rPr>
          <w:rFonts w:eastAsia="Calibri"/>
        </w:rPr>
        <w:t xml:space="preserve">, </w:t>
      </w:r>
      <w:proofErr w:type="gramStart"/>
      <w:r w:rsidRPr="00E86FC4">
        <w:rPr>
          <w:rFonts w:eastAsia="Calibri"/>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E86FC4">
        <w:rPr>
          <w:rFonts w:eastAsia="Calibri"/>
        </w:rPr>
        <w:t xml:space="preserve"> (</w:t>
      </w:r>
      <w:proofErr w:type="gramStart"/>
      <w:r w:rsidRPr="00E86FC4">
        <w:rPr>
          <w:rFonts w:eastAsia="Calibri"/>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D2B7E" w:rsidRPr="00487D21" w:rsidRDefault="00BD2B7E" w:rsidP="00BD2B7E">
      <w:pPr>
        <w:keepNext/>
        <w:autoSpaceDE w:val="0"/>
        <w:autoSpaceDN w:val="0"/>
        <w:adjustRightInd w:val="0"/>
        <w:ind w:firstLine="709"/>
        <w:rPr>
          <w:rFonts w:eastAsia="Calibri"/>
        </w:rPr>
      </w:pPr>
      <w:proofErr w:type="gramStart"/>
      <w:r w:rsidRPr="00E86FC4">
        <w:rPr>
          <w:rFonts w:eastAsia="Calibri"/>
        </w:rPr>
        <w:t xml:space="preserve">б) согласие, предусмотренное </w:t>
      </w:r>
      <w:hyperlink r:id="rId8" w:history="1">
        <w:r w:rsidRPr="00E86FC4">
          <w:rPr>
            <w:rFonts w:eastAsia="Calibri"/>
          </w:rPr>
          <w:t>пунктом 3.2.2.2</w:t>
        </w:r>
      </w:hyperlink>
      <w:r w:rsidRPr="00E86FC4">
        <w:rPr>
          <w:rFonts w:eastAsia="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w:t>
      </w:r>
      <w:r w:rsidRPr="00487D21">
        <w:rPr>
          <w:rFonts w:eastAsia="Calibri"/>
        </w:rPr>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D2B7E" w:rsidRPr="00261D18" w:rsidRDefault="00BD2B7E" w:rsidP="00BD2B7E">
      <w:pPr>
        <w:keepNext/>
        <w:autoSpaceDE w:val="0"/>
        <w:autoSpaceDN w:val="0"/>
        <w:adjustRightInd w:val="0"/>
        <w:ind w:firstLine="709"/>
        <w:rPr>
          <w:rFonts w:eastAsia="Calibri"/>
        </w:rPr>
      </w:pPr>
      <w:proofErr w:type="gramStart"/>
      <w:r w:rsidRPr="00A67CF6">
        <w:rPr>
          <w:rFonts w:eastAsia="Calibri"/>
        </w:rPr>
        <w:t xml:space="preserve">Примечание: под конкретными показателями поставляемого или применяемого </w:t>
      </w:r>
      <w:r>
        <w:rPr>
          <w:rFonts w:eastAsia="Calibri"/>
        </w:rPr>
        <w:br/>
      </w:r>
      <w:r w:rsidRPr="00A67CF6">
        <w:rPr>
          <w:rFonts w:eastAsia="Calibri"/>
        </w:rPr>
        <w:t xml:space="preserve">при выполнении работ, оказании услуг товара заказчиком понимаются все </w:t>
      </w:r>
      <w:r>
        <w:rPr>
          <w:rFonts w:eastAsia="Calibri"/>
        </w:rPr>
        <w:br/>
      </w:r>
      <w:r w:rsidRPr="00A67CF6">
        <w:rPr>
          <w:rFonts w:eastAsia="Calibri"/>
        </w:rPr>
        <w:t xml:space="preserve">его функциональные, качественные и количественные </w:t>
      </w:r>
      <w:r w:rsidRPr="00261D18">
        <w:rPr>
          <w:rFonts w:eastAsia="Calibri"/>
        </w:rPr>
        <w:t xml:space="preserve">характеристики, характеристики </w:t>
      </w:r>
      <w:r>
        <w:rPr>
          <w:rFonts w:eastAsia="Calibri"/>
        </w:rPr>
        <w:br/>
      </w:r>
      <w:r w:rsidRPr="00261D18">
        <w:rPr>
          <w:rFonts w:eastAsia="Calibri"/>
        </w:rPr>
        <w:t xml:space="preserve">его упаковки, гарантийный срок и иные показатели, содержащиеся в настоящей </w:t>
      </w:r>
      <w:r w:rsidRPr="00270C6C">
        <w:rPr>
          <w:rFonts w:eastAsia="Calibri"/>
        </w:rPr>
        <w:t>документации об аукционе в электронной форме, а именно в отношении товаров, указанных в пунктах 3, 7</w:t>
      </w:r>
      <w:r w:rsidRPr="003C0705">
        <w:rPr>
          <w:rFonts w:eastAsia="Calibri"/>
        </w:rPr>
        <w:t xml:space="preserve"> части III</w:t>
      </w:r>
      <w:r w:rsidRPr="00F82EE5">
        <w:rPr>
          <w:rFonts w:eastAsia="Calibri"/>
        </w:rPr>
        <w:t xml:space="preserve"> «Техническая</w:t>
      </w:r>
      <w:r w:rsidRPr="00261D18">
        <w:rPr>
          <w:rFonts w:eastAsia="Calibri"/>
        </w:rPr>
        <w:t xml:space="preserve"> часть».</w:t>
      </w:r>
      <w:proofErr w:type="gramEnd"/>
    </w:p>
    <w:p w:rsidR="00BD2B7E" w:rsidRPr="00261D18" w:rsidRDefault="00BD2B7E" w:rsidP="00BD2B7E">
      <w:pPr>
        <w:keepNext/>
        <w:autoSpaceDE w:val="0"/>
        <w:autoSpaceDN w:val="0"/>
        <w:adjustRightInd w:val="0"/>
        <w:ind w:firstLine="709"/>
        <w:rPr>
          <w:rFonts w:eastAsia="Calibri"/>
        </w:rPr>
      </w:pPr>
      <w:r w:rsidRPr="00261D18">
        <w:rPr>
          <w:rFonts w:eastAsia="Calibri"/>
        </w:rPr>
        <w:t xml:space="preserve">Участник закупки  вправе представить требуемые сведения в свободной форме </w:t>
      </w:r>
      <w:r>
        <w:rPr>
          <w:rFonts w:eastAsia="Calibri"/>
        </w:rPr>
        <w:br/>
      </w:r>
      <w:r w:rsidRPr="00261D18">
        <w:rPr>
          <w:rFonts w:eastAsia="Calibri"/>
        </w:rPr>
        <w:t xml:space="preserve">или в форме указанной в части IV «Форма первой части заявки на участие в аукционе </w:t>
      </w:r>
      <w:r>
        <w:rPr>
          <w:rFonts w:eastAsia="Calibri"/>
        </w:rPr>
        <w:br/>
      </w:r>
      <w:r w:rsidRPr="00261D18">
        <w:rPr>
          <w:rFonts w:eastAsia="Calibri"/>
        </w:rPr>
        <w:t xml:space="preserve">в электронной форме» Документации по проведению электронного аукциона. </w:t>
      </w:r>
    </w:p>
    <w:p w:rsidR="00CA3B58" w:rsidRDefault="00CA3B58"/>
    <w:p w:rsidR="00BD2B7E" w:rsidRPr="00BD2B7E" w:rsidRDefault="00BD2B7E">
      <w:pPr>
        <w:rPr>
          <w:b/>
          <w:u w:val="single"/>
        </w:rPr>
      </w:pPr>
      <w:r w:rsidRPr="00BD2B7E">
        <w:rPr>
          <w:b/>
          <w:u w:val="single"/>
        </w:rPr>
        <w:t xml:space="preserve">Из информационной карты: </w:t>
      </w:r>
    </w:p>
    <w:tbl>
      <w:tblPr>
        <w:tblpPr w:leftFromText="180" w:rightFromText="180" w:vertAnchor="text" w:tblpXSpec="right" w:tblpY="1"/>
        <w:tblOverlap w:val="neve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78"/>
        <w:gridCol w:w="6925"/>
      </w:tblGrid>
      <w:tr w:rsidR="00BD2B7E" w:rsidRPr="00A73648" w:rsidTr="00BD2B7E">
        <w:tc>
          <w:tcPr>
            <w:tcW w:w="576" w:type="dxa"/>
            <w:vAlign w:val="center"/>
          </w:tcPr>
          <w:p w:rsidR="00BD2B7E" w:rsidRPr="00A73648" w:rsidRDefault="00BD2B7E" w:rsidP="00BD2B7E">
            <w:pPr>
              <w:pStyle w:val="-11"/>
              <w:keepNext/>
              <w:numPr>
                <w:ilvl w:val="0"/>
                <w:numId w:val="2"/>
              </w:numPr>
              <w:tabs>
                <w:tab w:val="left" w:pos="318"/>
              </w:tabs>
              <w:ind w:left="0" w:firstLine="0"/>
              <w:jc w:val="center"/>
              <w:rPr>
                <w:sz w:val="23"/>
                <w:szCs w:val="23"/>
              </w:rPr>
            </w:pPr>
          </w:p>
        </w:tc>
        <w:tc>
          <w:tcPr>
            <w:tcW w:w="2678" w:type="dxa"/>
            <w:vAlign w:val="center"/>
          </w:tcPr>
          <w:p w:rsidR="00BD2B7E" w:rsidRPr="00BD2B7E" w:rsidRDefault="00BD2B7E" w:rsidP="00BD2B7E">
            <w:pPr>
              <w:keepNext/>
              <w:jc w:val="left"/>
              <w:rPr>
                <w:sz w:val="20"/>
                <w:szCs w:val="20"/>
              </w:rPr>
            </w:pPr>
            <w:r w:rsidRPr="00BD2B7E">
              <w:rPr>
                <w:sz w:val="20"/>
                <w:szCs w:val="20"/>
              </w:rPr>
              <w:t>Требовани</w:t>
            </w:r>
            <w:bookmarkStart w:id="3" w:name="_GoBack"/>
            <w:bookmarkEnd w:id="3"/>
            <w:r w:rsidRPr="00BD2B7E">
              <w:rPr>
                <w:sz w:val="20"/>
                <w:szCs w:val="20"/>
              </w:rPr>
              <w:t>я к содержанию и составу заявки на участие в аукционе и инструкция по ее заполнению</w:t>
            </w:r>
          </w:p>
        </w:tc>
        <w:tc>
          <w:tcPr>
            <w:tcW w:w="6925" w:type="dxa"/>
          </w:tcPr>
          <w:p w:rsidR="00BD2B7E" w:rsidRPr="00BD2B7E" w:rsidRDefault="00BD2B7E" w:rsidP="00BD2B7E">
            <w:pPr>
              <w:keepNext/>
              <w:rPr>
                <w:sz w:val="20"/>
                <w:szCs w:val="20"/>
                <w:lang w:eastAsia="en-US"/>
              </w:rPr>
            </w:pPr>
            <w:r w:rsidRPr="00BD2B7E">
              <w:rPr>
                <w:sz w:val="20"/>
                <w:szCs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BD2B7E" w:rsidRPr="00BD2B7E" w:rsidRDefault="00BD2B7E" w:rsidP="00BD2B7E">
            <w:pPr>
              <w:keepNext/>
              <w:rPr>
                <w:sz w:val="20"/>
                <w:szCs w:val="20"/>
                <w:lang w:eastAsia="en-US"/>
              </w:rPr>
            </w:pPr>
            <w:r w:rsidRPr="00BD2B7E">
              <w:rPr>
                <w:sz w:val="20"/>
                <w:szCs w:val="20"/>
                <w:lang w:eastAsia="en-US"/>
              </w:rPr>
              <w:t>Заявка на участие в электронном аукционе состоит из двух частей</w:t>
            </w:r>
          </w:p>
          <w:p w:rsidR="00BD2B7E" w:rsidRPr="00BD2B7E" w:rsidRDefault="00BD2B7E" w:rsidP="00BD2B7E">
            <w:pPr>
              <w:keepNext/>
              <w:autoSpaceDE w:val="0"/>
              <w:autoSpaceDN w:val="0"/>
              <w:adjustRightInd w:val="0"/>
              <w:rPr>
                <w:b/>
                <w:i/>
                <w:sz w:val="20"/>
                <w:szCs w:val="20"/>
                <w:lang w:eastAsia="en-US"/>
              </w:rPr>
            </w:pPr>
            <w:r w:rsidRPr="00BD2B7E">
              <w:rPr>
                <w:b/>
                <w:i/>
                <w:sz w:val="20"/>
                <w:szCs w:val="20"/>
                <w:lang w:eastAsia="en-US"/>
              </w:rPr>
              <w:t xml:space="preserve">Первая часть заявки на участие в электронном аукционе должна содержать следующую информацию: </w:t>
            </w:r>
          </w:p>
          <w:p w:rsidR="00BD2B7E" w:rsidRPr="00BD2B7E" w:rsidRDefault="00BD2B7E" w:rsidP="00BD2B7E">
            <w:pPr>
              <w:keepNext/>
              <w:tabs>
                <w:tab w:val="left" w:pos="-1620"/>
              </w:tabs>
              <w:rPr>
                <w:color w:val="000000"/>
                <w:sz w:val="20"/>
                <w:szCs w:val="20"/>
              </w:rPr>
            </w:pPr>
            <w:proofErr w:type="gramStart"/>
            <w:r w:rsidRPr="00BD2B7E">
              <w:rPr>
                <w:color w:val="000000"/>
                <w:sz w:val="20"/>
                <w:szCs w:val="20"/>
              </w:rPr>
              <w:t xml:space="preserve">1) Согласие участника аукциона на выполнение работы </w:t>
            </w:r>
            <w:r w:rsidRPr="00BD2B7E">
              <w:rPr>
                <w:color w:val="000000"/>
                <w:sz w:val="20"/>
                <w:szCs w:val="20"/>
              </w:rPr>
              <w:br/>
              <w:t xml:space="preserve">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w:t>
            </w:r>
            <w:r w:rsidRPr="00BD2B7E">
              <w:rPr>
                <w:color w:val="000000"/>
                <w:sz w:val="20"/>
                <w:szCs w:val="20"/>
              </w:rPr>
              <w:b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BD2B7E">
              <w:rPr>
                <w:color w:val="000000"/>
                <w:sz w:val="20"/>
                <w:szCs w:val="20"/>
              </w:rPr>
              <w:t xml:space="preserve"> происхождения товара.</w:t>
            </w:r>
          </w:p>
          <w:p w:rsidR="00BD2B7E" w:rsidRPr="00BD2B7E" w:rsidRDefault="00BD2B7E" w:rsidP="00BD2B7E">
            <w:pPr>
              <w:keepNext/>
              <w:autoSpaceDE w:val="0"/>
              <w:autoSpaceDN w:val="0"/>
              <w:adjustRightInd w:val="0"/>
              <w:outlineLvl w:val="1"/>
              <w:rPr>
                <w:b/>
                <w:sz w:val="20"/>
                <w:szCs w:val="20"/>
                <w:lang w:eastAsia="en-US"/>
              </w:rPr>
            </w:pPr>
            <w:bookmarkStart w:id="4" w:name="_Toc416278318"/>
            <w:r w:rsidRPr="00BD2B7E">
              <w:rPr>
                <w:b/>
                <w:sz w:val="20"/>
                <w:szCs w:val="20"/>
                <w:lang w:eastAsia="en-US"/>
              </w:rPr>
              <w:t>Вторая часть заявки на участие в электронном аукционе должна содержать следующие документы и информацию:</w:t>
            </w:r>
            <w:bookmarkEnd w:id="4"/>
          </w:p>
          <w:p w:rsidR="00BD2B7E" w:rsidRPr="00BD2B7E" w:rsidRDefault="00BD2B7E" w:rsidP="00BD2B7E">
            <w:pPr>
              <w:keepNext/>
              <w:autoSpaceDE w:val="0"/>
              <w:autoSpaceDN w:val="0"/>
              <w:adjustRightInd w:val="0"/>
              <w:outlineLvl w:val="1"/>
              <w:rPr>
                <w:sz w:val="20"/>
                <w:szCs w:val="20"/>
                <w:lang w:eastAsia="en-US"/>
              </w:rPr>
            </w:pPr>
            <w:bookmarkStart w:id="5" w:name="_Toc416278319"/>
            <w:proofErr w:type="gramStart"/>
            <w:r w:rsidRPr="00BD2B7E">
              <w:rPr>
                <w:sz w:val="20"/>
                <w:szCs w:val="20"/>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BD2B7E">
              <w:rPr>
                <w:sz w:val="20"/>
                <w:szCs w:val="20"/>
                <w:lang w:eastAsia="en-US"/>
              </w:rPr>
              <w:t>, лица, исполняющего функции единоличного исполнительного органа участника такого аукциона;</w:t>
            </w:r>
            <w:bookmarkEnd w:id="5"/>
          </w:p>
          <w:p w:rsidR="00BD2B7E" w:rsidRPr="00BD2B7E" w:rsidRDefault="00BD2B7E" w:rsidP="00BD2B7E">
            <w:pPr>
              <w:keepNext/>
              <w:autoSpaceDE w:val="0"/>
              <w:autoSpaceDN w:val="0"/>
              <w:adjustRightInd w:val="0"/>
              <w:outlineLvl w:val="1"/>
              <w:rPr>
                <w:sz w:val="20"/>
                <w:szCs w:val="20"/>
                <w:lang w:eastAsia="en-US"/>
              </w:rPr>
            </w:pPr>
            <w:bookmarkStart w:id="6" w:name="_Toc416278320"/>
            <w:r w:rsidRPr="00BD2B7E">
              <w:rPr>
                <w:sz w:val="20"/>
                <w:szCs w:val="20"/>
                <w:lang w:eastAsia="en-US"/>
              </w:rPr>
              <w:t>2) Д</w:t>
            </w:r>
            <w:r w:rsidRPr="00BD2B7E">
              <w:rPr>
                <w:color w:val="000000"/>
                <w:sz w:val="20"/>
                <w:szCs w:val="20"/>
                <w:shd w:val="clear" w:color="auto" w:fill="FFFFFF"/>
              </w:rPr>
              <w:t xml:space="preserve">екларация о соответствии участника такого аукциона требованиям, установленным пунктами 3 – 5, 7 - 10  части 1 </w:t>
            </w:r>
            <w:r w:rsidRPr="00BD2B7E">
              <w:rPr>
                <w:color w:val="000000"/>
                <w:sz w:val="20"/>
                <w:szCs w:val="20"/>
                <w:shd w:val="clear" w:color="auto" w:fill="FFFFFF"/>
              </w:rPr>
              <w:br/>
              <w:t xml:space="preserve">статьи 31 Закона о контрактной системе. </w:t>
            </w:r>
            <w:bookmarkEnd w:id="6"/>
          </w:p>
          <w:p w:rsidR="00BD2B7E" w:rsidRPr="00BD2B7E" w:rsidRDefault="00BD2B7E" w:rsidP="00BD2B7E">
            <w:pPr>
              <w:keepNext/>
              <w:autoSpaceDE w:val="0"/>
              <w:autoSpaceDN w:val="0"/>
              <w:adjustRightInd w:val="0"/>
              <w:outlineLvl w:val="1"/>
              <w:rPr>
                <w:sz w:val="20"/>
                <w:szCs w:val="20"/>
                <w:lang w:eastAsia="en-US"/>
              </w:rPr>
            </w:pPr>
            <w:bookmarkStart w:id="7" w:name="_Toc416278321"/>
            <w:proofErr w:type="gramStart"/>
            <w:r w:rsidRPr="00BD2B7E">
              <w:rPr>
                <w:sz w:val="20"/>
                <w:szCs w:val="20"/>
                <w:lang w:eastAsia="en-US"/>
              </w:rPr>
              <w:t xml:space="preserve">3) копии документов, подтверждающих соответствие товара, работы или услуги требованиям, установленным в соответствии </w:t>
            </w:r>
            <w:r w:rsidRPr="00BD2B7E">
              <w:rPr>
                <w:sz w:val="20"/>
                <w:szCs w:val="20"/>
                <w:lang w:eastAsia="en-US"/>
              </w:rPr>
              <w:br/>
              <w:t xml:space="preserve">с законодательством Российской Федерации, в случае, если </w:t>
            </w:r>
            <w:r w:rsidRPr="00BD2B7E">
              <w:rPr>
                <w:sz w:val="20"/>
                <w:szCs w:val="20"/>
                <w:lang w:eastAsia="en-US"/>
              </w:rPr>
              <w:br/>
              <w:t xml:space="preserve">в соответствии с законодательством Российской Федерации установлены требования к товару, работе или услуге </w:t>
            </w:r>
            <w:r w:rsidRPr="00BD2B7E">
              <w:rPr>
                <w:sz w:val="20"/>
                <w:szCs w:val="20"/>
                <w:lang w:eastAsia="en-US"/>
              </w:rPr>
              <w:br/>
              <w:t xml:space="preserve">и представление указанных документов предусмотрено документацией об электронном аукционе </w:t>
            </w:r>
            <w:r w:rsidRPr="00BD2B7E">
              <w:rPr>
                <w:b/>
                <w:i/>
                <w:sz w:val="20"/>
                <w:szCs w:val="20"/>
                <w:lang w:eastAsia="en-US"/>
              </w:rPr>
              <w:t>(не требуется);</w:t>
            </w:r>
            <w:bookmarkEnd w:id="7"/>
            <w:proofErr w:type="gramEnd"/>
          </w:p>
          <w:p w:rsidR="00BD2B7E" w:rsidRPr="00BD2B7E" w:rsidRDefault="00BD2B7E" w:rsidP="00BD2B7E">
            <w:pPr>
              <w:keepNext/>
              <w:autoSpaceDE w:val="0"/>
              <w:autoSpaceDN w:val="0"/>
              <w:adjustRightInd w:val="0"/>
              <w:outlineLvl w:val="1"/>
              <w:rPr>
                <w:sz w:val="20"/>
                <w:szCs w:val="20"/>
                <w:lang w:eastAsia="en-US"/>
              </w:rPr>
            </w:pPr>
            <w:bookmarkStart w:id="8" w:name="_Toc416278322"/>
            <w:proofErr w:type="gramStart"/>
            <w:r w:rsidRPr="00BD2B7E">
              <w:rPr>
                <w:sz w:val="20"/>
                <w:szCs w:val="20"/>
                <w:lang w:eastAsia="en-US"/>
              </w:rPr>
              <w:t xml:space="preserve">4) решение об одобрении или о совершении крупной сделки </w:t>
            </w:r>
            <w:r w:rsidRPr="00BD2B7E">
              <w:rPr>
                <w:sz w:val="20"/>
                <w:szCs w:val="20"/>
                <w:lang w:eastAsia="en-US"/>
              </w:rPr>
              <w:br/>
              <w:t xml:space="preserve">либо копия данного решения в случае, если требование </w:t>
            </w:r>
            <w:r w:rsidRPr="00BD2B7E">
              <w:rPr>
                <w:sz w:val="20"/>
                <w:szCs w:val="20"/>
                <w:lang w:eastAsia="en-US"/>
              </w:rPr>
              <w:br/>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D2B7E">
              <w:rPr>
                <w:sz w:val="20"/>
                <w:szCs w:val="20"/>
                <w:lang w:eastAsia="en-US"/>
              </w:rPr>
              <w:t xml:space="preserve"> контракта является крупной сделкой;</w:t>
            </w:r>
            <w:bookmarkEnd w:id="8"/>
          </w:p>
          <w:p w:rsidR="00BD2B7E" w:rsidRPr="00BD2B7E" w:rsidRDefault="00BD2B7E" w:rsidP="00BD2B7E">
            <w:pPr>
              <w:keepNext/>
              <w:autoSpaceDE w:val="0"/>
              <w:autoSpaceDN w:val="0"/>
              <w:adjustRightInd w:val="0"/>
              <w:outlineLvl w:val="1"/>
              <w:rPr>
                <w:sz w:val="20"/>
                <w:szCs w:val="20"/>
                <w:lang w:eastAsia="en-US"/>
              </w:rPr>
            </w:pPr>
            <w:bookmarkStart w:id="9" w:name="_Toc416278323"/>
            <w:r w:rsidRPr="00BD2B7E">
              <w:rPr>
                <w:sz w:val="20"/>
                <w:szCs w:val="20"/>
                <w:lang w:eastAsia="en-US"/>
              </w:rPr>
              <w:t xml:space="preserve">5) </w:t>
            </w:r>
            <w:bookmarkEnd w:id="9"/>
            <w:r w:rsidRPr="00BD2B7E">
              <w:rPr>
                <w:rFonts w:eastAsia="Calibri"/>
                <w:sz w:val="20"/>
                <w:szCs w:val="20"/>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bookmarkStart w:id="10" w:name="_Toc416278324"/>
            <w:r w:rsidRPr="00BD2B7E">
              <w:rPr>
                <w:rFonts w:eastAsia="Calibri"/>
                <w:sz w:val="20"/>
                <w:szCs w:val="20"/>
              </w:rPr>
              <w:t xml:space="preserve"> </w:t>
            </w:r>
            <w:r w:rsidRPr="00BD2B7E">
              <w:rPr>
                <w:rFonts w:eastAsia="Calibri"/>
                <w:b/>
                <w:i/>
                <w:sz w:val="20"/>
                <w:szCs w:val="20"/>
              </w:rPr>
              <w:t>(не требуется);</w:t>
            </w:r>
          </w:p>
          <w:p w:rsidR="00BD2B7E" w:rsidRPr="00BD2B7E" w:rsidRDefault="00BD2B7E" w:rsidP="00BD2B7E">
            <w:pPr>
              <w:keepNext/>
              <w:autoSpaceDE w:val="0"/>
              <w:autoSpaceDN w:val="0"/>
              <w:adjustRightInd w:val="0"/>
              <w:outlineLvl w:val="1"/>
              <w:rPr>
                <w:sz w:val="20"/>
                <w:szCs w:val="20"/>
                <w:lang w:eastAsia="en-US"/>
              </w:rPr>
            </w:pPr>
            <w:bookmarkStart w:id="11" w:name="_Toc416278325"/>
            <w:bookmarkEnd w:id="10"/>
            <w:r w:rsidRPr="00BD2B7E">
              <w:rPr>
                <w:sz w:val="20"/>
                <w:szCs w:val="20"/>
                <w:lang w:eastAsia="en-US"/>
              </w:rPr>
              <w:t xml:space="preserve">Участник электронного аукциона вправе подать заявку </w:t>
            </w:r>
            <w:proofErr w:type="gramStart"/>
            <w:r w:rsidRPr="00BD2B7E">
              <w:rPr>
                <w:sz w:val="20"/>
                <w:szCs w:val="20"/>
                <w:lang w:eastAsia="en-US"/>
              </w:rPr>
              <w:t xml:space="preserve">на участие </w:t>
            </w:r>
            <w:r w:rsidRPr="00BD2B7E">
              <w:rPr>
                <w:sz w:val="20"/>
                <w:szCs w:val="20"/>
                <w:lang w:eastAsia="en-US"/>
              </w:rPr>
              <w:br/>
              <w:t>в таком аукционе в любое время с момента размещения извещения о его проведении</w:t>
            </w:r>
            <w:proofErr w:type="gramEnd"/>
            <w:r w:rsidRPr="00BD2B7E">
              <w:rPr>
                <w:sz w:val="20"/>
                <w:szCs w:val="20"/>
                <w:lang w:eastAsia="en-US"/>
              </w:rPr>
              <w:t xml:space="preserve"> до предусмотренных документацией о таком аукционе даты и времени окончания срока подачи на участие </w:t>
            </w:r>
            <w:r w:rsidRPr="00BD2B7E">
              <w:rPr>
                <w:sz w:val="20"/>
                <w:szCs w:val="20"/>
                <w:lang w:eastAsia="en-US"/>
              </w:rPr>
              <w:br/>
              <w:t>в таком аукционе заявок.</w:t>
            </w:r>
            <w:bookmarkEnd w:id="11"/>
          </w:p>
          <w:p w:rsidR="00BD2B7E" w:rsidRPr="00BD2B7E" w:rsidRDefault="00BD2B7E" w:rsidP="00BD2B7E">
            <w:pPr>
              <w:keepNext/>
              <w:rPr>
                <w:sz w:val="20"/>
                <w:szCs w:val="20"/>
                <w:lang w:eastAsia="en-US"/>
              </w:rPr>
            </w:pPr>
            <w:r w:rsidRPr="00BD2B7E">
              <w:rPr>
                <w:sz w:val="20"/>
                <w:szCs w:val="20"/>
                <w:lang w:eastAsia="en-US"/>
              </w:rPr>
              <w:t xml:space="preserve">  Заявка на участие в электронном аукционе направляется участником такого аукциона оператору электронной площадки </w:t>
            </w:r>
            <w:r w:rsidRPr="00BD2B7E">
              <w:rPr>
                <w:sz w:val="20"/>
                <w:szCs w:val="20"/>
                <w:lang w:eastAsia="en-US"/>
              </w:rPr>
              <w:br/>
              <w:t>в форме двух электронных документов, содержащих части заявки. Указанные электронные документы подаются одновременно.</w:t>
            </w:r>
          </w:p>
          <w:p w:rsidR="00BD2B7E" w:rsidRPr="00BD2B7E" w:rsidRDefault="00BD2B7E" w:rsidP="00BD2B7E">
            <w:pPr>
              <w:keepNext/>
              <w:rPr>
                <w:sz w:val="20"/>
                <w:szCs w:val="20"/>
                <w:lang w:eastAsia="en-US"/>
              </w:rPr>
            </w:pPr>
            <w:r w:rsidRPr="00BD2B7E">
              <w:rPr>
                <w:sz w:val="20"/>
                <w:szCs w:val="20"/>
                <w:lang w:eastAsia="en-US"/>
              </w:rPr>
              <w:t xml:space="preserve">Инструкция по заполнению заявки содержится в пункте 3.2 Раздела </w:t>
            </w:r>
            <w:r w:rsidRPr="00BD2B7E">
              <w:rPr>
                <w:sz w:val="20"/>
                <w:szCs w:val="20"/>
                <w:lang w:val="en-US" w:eastAsia="en-US"/>
              </w:rPr>
              <w:t>II</w:t>
            </w:r>
            <w:r w:rsidRPr="00BD2B7E">
              <w:rPr>
                <w:sz w:val="20"/>
                <w:szCs w:val="20"/>
                <w:lang w:eastAsia="en-US"/>
              </w:rPr>
              <w:t>. настоящей документации.</w:t>
            </w:r>
          </w:p>
        </w:tc>
      </w:tr>
    </w:tbl>
    <w:p w:rsidR="00BD2B7E" w:rsidRDefault="00BD2B7E"/>
    <w:sectPr w:rsidR="00BD2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5042"/>
    <w:multiLevelType w:val="hybridMultilevel"/>
    <w:tmpl w:val="59CE8AFE"/>
    <w:lvl w:ilvl="0" w:tplc="4028CAF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23C08"/>
    <w:multiLevelType w:val="multilevel"/>
    <w:tmpl w:val="8D7A1808"/>
    <w:lvl w:ilvl="0">
      <w:start w:val="3"/>
      <w:numFmt w:val="decimal"/>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7E"/>
    <w:rsid w:val="00BD2B7E"/>
    <w:rsid w:val="00CA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E"/>
    <w:pPr>
      <w:spacing w:after="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1"/>
    <w:qFormat/>
    <w:rsid w:val="00BD2B7E"/>
    <w:pPr>
      <w:keepNext/>
      <w:spacing w:before="240" w:after="60"/>
      <w:outlineLvl w:val="2"/>
    </w:pPr>
    <w:rPr>
      <w:rFonts w:ascii="Arial" w:eastAsia="Calibri" w:hAnsi="Arial"/>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BD2B7E"/>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link w:val="3"/>
    <w:locked/>
    <w:rsid w:val="00BD2B7E"/>
    <w:rPr>
      <w:rFonts w:ascii="Arial" w:eastAsia="Calibri" w:hAnsi="Arial" w:cs="Times New Roman"/>
      <w:b/>
      <w:bCs/>
      <w:sz w:val="20"/>
      <w:szCs w:val="20"/>
      <w:lang w:val="x-none" w:eastAsia="ru-RU"/>
    </w:rPr>
  </w:style>
  <w:style w:type="paragraph" w:customStyle="1" w:styleId="ConsPlusNormal">
    <w:name w:val="ConsPlusNormal"/>
    <w:rsid w:val="00BD2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
    <w:uiPriority w:val="99"/>
    <w:rsid w:val="00BD2B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E"/>
    <w:pPr>
      <w:spacing w:after="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1"/>
    <w:qFormat/>
    <w:rsid w:val="00BD2B7E"/>
    <w:pPr>
      <w:keepNext/>
      <w:spacing w:before="240" w:after="60"/>
      <w:outlineLvl w:val="2"/>
    </w:pPr>
    <w:rPr>
      <w:rFonts w:ascii="Arial" w:eastAsia="Calibri" w:hAnsi="Arial"/>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BD2B7E"/>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link w:val="3"/>
    <w:locked/>
    <w:rsid w:val="00BD2B7E"/>
    <w:rPr>
      <w:rFonts w:ascii="Arial" w:eastAsia="Calibri" w:hAnsi="Arial" w:cs="Times New Roman"/>
      <w:b/>
      <w:bCs/>
      <w:sz w:val="20"/>
      <w:szCs w:val="20"/>
      <w:lang w:val="x-none" w:eastAsia="ru-RU"/>
    </w:rPr>
  </w:style>
  <w:style w:type="paragraph" w:customStyle="1" w:styleId="ConsPlusNormal">
    <w:name w:val="ConsPlusNormal"/>
    <w:rsid w:val="00BD2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
    <w:uiPriority w:val="99"/>
    <w:rsid w:val="00BD2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FAB682AC3E2F1E589C912D1837F53AF771B6B0BF657B01E724A0A879AEB38EFE7BF18945DF4DAE4S4N" TargetMode="External"/><Relationship Id="rId3" Type="http://schemas.microsoft.com/office/2007/relationships/stylesWithEffects" Target="stylesWithEffects.xml"/><Relationship Id="rId7" Type="http://schemas.openxmlformats.org/officeDocument/2006/relationships/hyperlink" Target="consultantplus://offline/ref=FA1FAB682AC3E2F1E589C912D1837F53AF771B6B0BF657B01E724A0A879AEB38EFE7BF18945DF4DAE4S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1FAB682AC3E2F1E589C912D1837F53AF771B6B0BF657B01E724A0A879AEB38EFE7BF18945DF4DAE4S4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dc:creator>
  <cp:keywords/>
  <dc:description/>
  <cp:lastModifiedBy>Nataliia</cp:lastModifiedBy>
  <cp:revision>1</cp:revision>
  <dcterms:created xsi:type="dcterms:W3CDTF">2017-07-01T17:24:00Z</dcterms:created>
  <dcterms:modified xsi:type="dcterms:W3CDTF">2017-07-01T17:27:00Z</dcterms:modified>
</cp:coreProperties>
</file>