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Дело № 2-150/2014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Р Е Ш Е Н И Е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Именем Российской Федерации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пос. Кшенский                                                                                        «06» июня 2014 года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Советский районный суд .... в составе: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председательствующего судьи - Павловой Е.А.,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при секретаре - Алисовой В.В.,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с участием помощника прокурора .... - Г,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представителя заинтересованного лица Администрации поселка .... по доверенности - И,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рассмотрев в открытом судебном заседании гражданское дело по заявлению прокурора .... в интересах неопределенного круга лиц о признании незаконным бездействия Администрации поселка .... и обязании выполнить действия,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установил: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.... обратился в суд с заявлением в интересах неопределенного круга лиц и просит признать незаконным бездействие администрации поселка ...., выразившееся в не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и обязать администрацию поселка .... в течение 3-х месяцев со дня вступления решения суда в законную силу провести предварительный отбор участников закупки в целях оказания гуманитарной помощи либо ликвидации последствий чрезвычайных ситуаций природного и техногенного характера с соблюдением процедуры,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Помощник прокурора .... Г в судебном заседании поддержал заявленные требования в полном объеме, приведя доводы, изложенные в заявлении.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Представитель администрации поселка .... по доверенности И в судебном заседании заявленные требования признал в полном объеме, пояснив, что они проведут предварительный отбор участников закупки в целях оказания гуманитарной помощи либо ликвидации последствий чрезвычайных ситуаций природного и техногенного характера с соблюдением процедуры,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Однако, пояснил, что в соответствии с вышеназванным законом запрос котировок не должен превышать 10% от общего объема закупок, и лимит на 2014 год в администрации поселка .... исчерпан, поэтому предварительный отбор участников закупки будет проведен позднее.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Рассмотрев материалы дела, заслушав мнение сторон, суд считает возможным удовлетворить заявленное требование прокурора .... и признать незаконным бездействие администрации поселка ...., выразившееся в не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по следующим основаниям.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В соответствии с п/п. «г», «д», «з» п. 2 ст. 11 Федерального закона от 21.12.1994 № 68-ФЗ «О защите населения и территории от чрезвычайных ситуаций природного и техногенного характера» органы местного самоуправления самостоятельно осуществляют финансирование мероприятий в области защиты населения и территорий от чрезвычайных ситуаций; создают резервы финансовых и материальных ресурсов для ликвидации чрезвычайных ситуаций; создают при органах местного самоуправления,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Согласно п.п. 6, 7 ч. 1 ст. 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заказчик - государственный или муниципальный заказчик либо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бюджетное учреждение, осуществляющие закупки.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В соответствии с ч. 1 ст. 80 Федерального закона № 44-ФЗ «О контрактной системе в сфере закупок товаров, работ, услуг для обеспечения государственных и муниципальных нужд»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услуг. 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Согласно требований ч. 2 ст. 80 Федерального закона № 44-ФЗ «О контрактной системе в сфере закупок товаров, работ, услуг для обеспечения государственных и муниципальных нужд», перечень поставщиков подлежит ежегодному обновлению путем проведения предварительного отбора. В случае если до даты проведения предварительного отбора в перечне поставщиков остался один участник закупки,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В силу ч. 3 ст. 80 Федерального закона № 44-ФЗ «О контрактной системе в сфере закупок товаров, работ, услуг для обеспечения государственных и муниципальных нужд»,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устанавливается Правительством Российской Федерации.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 xml:space="preserve">    Согласно положений п.п. 8, 23 ч. 1 ст. 3 Устава МО «....» .... к вопросам местного значения поселка .... относятся также участие в предупреждении и ликвидации последствий чрезвычайных ситуаций в границах поселка ...., а также организация и осуществление мероприятий по гражданской </w:t>
      </w:r>
      <w:r>
        <w:rPr>
          <w:rFonts w:ascii="Arial" w:hAnsi="Arial" w:cs="Arial"/>
          <w:color w:val="2D2D2D"/>
          <w:spacing w:val="1"/>
          <w:sz w:val="13"/>
          <w:szCs w:val="13"/>
        </w:rPr>
        <w:lastRenderedPageBreak/>
        <w:t>обороне, защите населения и территории поселка .... от чрезвычайных ситуаций природного и техногенного характера.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При таких обстоятельствах, администрация поселка ...., являясь в силу требований Федерального закона № 44-ФЗ заказчиком, обязана в целях оказания гуманитарной помощи либо ликвидации последствий чрезвычайных ситуаций природного или техногенного характера проводить предварительный отбор участников закупки.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В судебном заседании установлено, что администрацией поселка .... в нарушение норм действующего законодательства в 2013 году и прошедшем периоде 2014 года предварительный отбор участников закупки (размещения заказа) в целях оказания гуманитарной помощи либо ликвидации последствий чрезвычайных ситуаций природного или техногенного характера не проводился, что также подтверждается информацией администрации поселка .... /л.д. 11/.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Таким образом, суд приходит к выводу, что бездействие администрации поселка ...., выразившееся в не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незаконно и создает угрозу нарушения прав и законных интересов неопределенного круга лиц, а именно хозяйствующих субъектов и проживающих на территории поселка .... граждан.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В соответствии с ч. 1 ст. 258 ГПК РФ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Таким образом, суд считает необходимым удовлетворить заявленное требование прокурора .... о признании незаконным бездействия администрации поселка ...., выразившееся в не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На основании изложенного и руководствуясь ст.ст.194 - 198, 258 ГПК РФ, суд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решил: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Признать незаконным бездействие администрации поселка ...., выразившееся в не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Обязать администрацию поселка .... в течение 3-х месяцев со дня вступления решения суда в законную силу провести предварительный отбор участников закупки в целях оказания гуманитарной помощи либо ликвидации последствий чрезвычайных ситуаций природного и техногенного характера с соблюдением процедуры,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Решение может быть обжаловано в апелляционном порядке в Курский областной суд через Советский районный суд .... в течение месяца с момента принятия решения в окончательной форме.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  <w:t> </w:t>
      </w:r>
    </w:p>
    <w:p w:rsidR="00D43DB3" w:rsidRDefault="00D43DB3" w:rsidP="00D43DB3">
      <w:pPr>
        <w:pStyle w:val="a3"/>
        <w:shd w:val="clear" w:color="auto" w:fill="FFFFFF"/>
        <w:spacing w:before="0" w:beforeAutospacing="0" w:after="92" w:afterAutospacing="0" w:line="194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3"/>
          <w:szCs w:val="13"/>
        </w:rPr>
        <w:t>    Судья:        </w:t>
      </w:r>
    </w:p>
    <w:p w:rsidR="00C526D5" w:rsidRDefault="00C526D5"/>
    <w:sectPr w:rsidR="00C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43DB3"/>
    <w:rsid w:val="00C526D5"/>
    <w:rsid w:val="00D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8005</Characters>
  <Application>Microsoft Office Word</Application>
  <DocSecurity>0</DocSecurity>
  <Lines>66</Lines>
  <Paragraphs>18</Paragraphs>
  <ScaleCrop>false</ScaleCrop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RDK-BUH</dc:creator>
  <cp:keywords/>
  <dc:description/>
  <cp:lastModifiedBy>RDK-BUH</cp:lastModifiedBy>
  <cp:revision>2</cp:revision>
  <dcterms:created xsi:type="dcterms:W3CDTF">2015-05-21T07:31:00Z</dcterms:created>
  <dcterms:modified xsi:type="dcterms:W3CDTF">2015-05-21T07:31:00Z</dcterms:modified>
</cp:coreProperties>
</file>