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1" w:rsidRPr="003F4371" w:rsidRDefault="003F4371" w:rsidP="003F4371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3F4371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ОБЗОР</w:t>
      </w:r>
    </w:p>
    <w:p w:rsidR="003F4371" w:rsidRPr="003F4371" w:rsidRDefault="003F4371" w:rsidP="003F4371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3F4371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административной и арбитражной практики по применению</w:t>
      </w:r>
      <w:r w:rsidRPr="003F4371">
        <w:rPr>
          <w:rFonts w:ascii="Tahoma" w:hAnsi="Tahoma" w:cs="Tahoma"/>
          <w:color w:val="000000"/>
          <w:sz w:val="21"/>
          <w:szCs w:val="21"/>
          <w:lang w:eastAsia="ru-RU"/>
        </w:rPr>
        <w:t> </w:t>
      </w:r>
      <w:r w:rsidRPr="003F4371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Приказа Минэкономразвития № 567 от 02.10.2013</w:t>
      </w:r>
    </w:p>
    <w:p w:rsidR="003F4371" w:rsidRPr="003F4371" w:rsidRDefault="003F4371" w:rsidP="003F4371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3F4371">
        <w:rPr>
          <w:rFonts w:ascii="Tahoma" w:hAnsi="Tahoma" w:cs="Tahoma"/>
          <w:color w:val="000000"/>
          <w:sz w:val="21"/>
          <w:szCs w:val="21"/>
          <w:lang w:eastAsia="ru-RU"/>
        </w:rPr>
        <w:t>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413"/>
        <w:gridCol w:w="5533"/>
      </w:tblGrid>
      <w:tr w:rsidR="003F4371" w:rsidRPr="003F4371" w:rsidTr="003F4371">
        <w:trPr>
          <w:trHeight w:val="585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F4371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Реквизиты решения, тема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Содержание решения</w:t>
            </w:r>
          </w:p>
        </w:tc>
      </w:tr>
      <w:tr w:rsidR="003F4371" w:rsidRPr="003F4371" w:rsidTr="003F4371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№265/2014-З/2 от 06.08.2014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Рязанское УФАС 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3F4371">
                <w:rPr>
                  <w:rFonts w:ascii="Tahoma" w:hAnsi="Tahoma" w:cs="Tahoma"/>
                  <w:color w:val="4D6D91"/>
                  <w:sz w:val="21"/>
                  <w:szCs w:val="21"/>
                  <w:u w:val="single"/>
                  <w:lang w:eastAsia="ru-RU"/>
                </w:rPr>
                <w:t>http://ryazan.fas.gov.ru/solution/8330</w:t>
              </w:r>
            </w:hyperlink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Участник размещения заказа обжаловал действия заказчика при проведении электронного аукциона на поставку автомобиля «</w:t>
            </w:r>
            <w:proofErr w:type="spell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Toyota</w:t>
            </w:r>
            <w:proofErr w:type="spell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Camry</w:t>
            </w:r>
            <w:proofErr w:type="spell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».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При определении и обосновании начальной (максимальной) цены контракта заказчик руководствовался требованиями Приказа Министерства экономического развития Российской Федерации № 567 от 02.10.2013 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в частности разделом III «Обоснование НМЦК методом сопоставимых рыночных (анализ рынка)». Определение и обоснование начальной (максимальной) цены контракта осуществлялось приоритетным методом – методом сопоставимых рыночных цен (анализ рынка). В анализе рынка использовалась информация о стоимости идентичных товаров, а именно автомобиля марки «</w:t>
            </w:r>
            <w:proofErr w:type="spell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Toyota</w:t>
            </w:r>
            <w:proofErr w:type="spell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Camry</w:t>
            </w:r>
            <w:proofErr w:type="spell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», который соответствует описанию объекта закупки и представлен на функционирующем рынке.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УФАС согласилась с мнением заказчика и установила отсутствие нарушения ст. 22 Закона о контрактной системе.</w:t>
            </w:r>
          </w:p>
        </w:tc>
      </w:tr>
      <w:tr w:rsidR="003F4371" w:rsidRPr="003F4371" w:rsidTr="003F4371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 02-06/61-14 от 17.06.2014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Марийское УФАС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3F4371">
                <w:rPr>
                  <w:rFonts w:ascii="Tahoma" w:hAnsi="Tahoma" w:cs="Tahoma"/>
                  <w:color w:val="4D6D91"/>
                  <w:sz w:val="21"/>
                  <w:szCs w:val="21"/>
                  <w:u w:val="single"/>
                  <w:lang w:eastAsia="ru-RU"/>
                </w:rPr>
                <w:t>http://mari-el.fas.gov.ru/solution/13854</w:t>
              </w:r>
            </w:hyperlink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Проектно-сметный метод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Основанием для определения НМЦК на строительство, реконструкцию, капитальный ремонт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(часть 6.1 раздела VI Приказа Минэкономразвития России от 02.10.2013 N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567 "Об 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."</w:t>
            </w:r>
            <w:proofErr w:type="gramEnd"/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ind w:left="57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УФАС при рассмотрении жалобы установил несоответствие раздела аукционной документации «Обоснование начальной (максимальной) цены государственного контракта» и сметной документации по разработке вариантов интерьеров и дизайн-проекта по объекту «Республиканский театр кукол в г. Йошкар-Ола» Сделан вывод об отсутствии обоснования НМЦК на сумму расхождений и  о нарушении заказчиком пункта 1 части 1 статьи 64, части 9 статьи 22 Закона о контрактной системе.</w:t>
            </w:r>
            <w:proofErr w:type="gramEnd"/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ind w:left="57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F4371" w:rsidRPr="003F4371" w:rsidTr="003F4371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 08-01-347 от 08.09.2014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Новосибирское УФАС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3F4371">
                <w:rPr>
                  <w:rFonts w:ascii="Tahoma" w:hAnsi="Tahoma" w:cs="Tahoma"/>
                  <w:color w:val="4D6D91"/>
                  <w:sz w:val="21"/>
                  <w:szCs w:val="21"/>
                  <w:u w:val="single"/>
                  <w:lang w:eastAsia="ru-RU"/>
                </w:rPr>
                <w:t>http://novosibirsk.fas.gov.ru/solution/16183</w:t>
              </w:r>
            </w:hyperlink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Идентичность товаров в коммерческих предложениях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В жалобе заявитель указал, что заказчик нарушил порядок обоснования начальной (максимальной) цены контракта тем, что не включил в запросы коммерческих предложений сведения о реагентах, необходимых для первичного обучения на аппарате, которые закупаются одновременно с аппаратом в данном электронном аукционе. По мнению 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заявителя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указанные действия нарушают Приказ Минэкономразвития №567 от 02.10.2013г «Об утверждении Методических рекомендаций по применению методов определения начальной (максимальной) цены контракта, цена контракта, заключаемого с единственным поставщиком (подрядчиком, исполнителем)».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На заседании Комиссии Новосибирского УФАС России было установлено, что заказчик направил запросы о ценах на проточный </w:t>
            </w:r>
            <w:proofErr w:type="spell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цитофлюориметр</w:t>
            </w:r>
            <w:proofErr w:type="spell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-сортировщик клеток, При этом, он не включил в предметы запросов реагенты для первичного обучения, которые в рамках данной закупки закупаются одновременно с аппаратом.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На основании изложенного, Комиссия Новосибирского УФАС России пришла к выводу о том, что довод подателя жалобы о нарушении заказчиком порядка определения и обоснования начальной (максимальной) цены контракта частично нашел свое подтверждение. Заказчик нарушил ч.2 ст.22 ФЗ № 44-ФЗ.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F4371" w:rsidRPr="003F4371" w:rsidTr="003F4371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 А40-69509/14 от 18.07.2014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Арбитражный суд  города Москвы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3F4371">
                <w:rPr>
                  <w:rFonts w:ascii="Tahoma" w:hAnsi="Tahoma" w:cs="Tahoma"/>
                  <w:color w:val="4D6D91"/>
                  <w:sz w:val="21"/>
                  <w:szCs w:val="21"/>
                  <w:u w:val="single"/>
                  <w:lang w:eastAsia="ru-RU"/>
                </w:rPr>
                <w:t>http://kad.arbitr.ru/Card/5bde68d3-fa3f-4fc3-861c-973997d0766a</w:t>
              </w:r>
            </w:hyperlink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Расчет НМЦК по методике Приказа №567 подтверждает выполнение требований Закона 44-ФЗ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Заявитель обратился в Управление ФАС с заявлением о согласовании возможности заключения контракта с единственным поставщиком 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(подрядчиком, исполнителем) в соответствии с п. 25.4.1 ст. 93 ФЗ-44 «О контрактной системе в сфере закупок товаров, работ и услуг для обеспечения государственных и муниципальных нужд»  по причине признания несостоявшимся в соответствии с ч. 1 ст. 71 ФЗ-44 электронного аукциона в электронной форме на оказание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услуг по вывозу твердых бытовых отходов с территории войсковой части. УФАС отказала войсковой части  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 согласовании заключения контракта с единственным поставщиком по причине отсутствия в приложенной документации об электронном аукционе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обоснования начальной (максимальной) цены контракта. Заказчик обжаловал действия УФАС в арбитражном суде.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Суд установил, что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определено, что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      </w:r>
            <w:proofErr w:type="gramEnd"/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 документации об электронном аукционе такой расчет имелся. Иск удовлетворен.</w:t>
            </w:r>
          </w:p>
        </w:tc>
      </w:tr>
      <w:tr w:rsidR="003F4371" w:rsidRPr="003F4371" w:rsidTr="003F4371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№ А42-2927/2014 от 17.07.2014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Арбитражный суд Мурманской области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F4371">
                <w:rPr>
                  <w:rFonts w:ascii="Tahoma" w:hAnsi="Tahoma" w:cs="Tahoma"/>
                  <w:color w:val="4D6D91"/>
                  <w:sz w:val="21"/>
                  <w:szCs w:val="21"/>
                  <w:u w:val="single"/>
                  <w:lang w:eastAsia="ru-RU"/>
                </w:rPr>
                <w:t>http://kad.arbitr.ru/Card/00668cc3-993b-4bd1-aa28-d8877548f9c6</w:t>
              </w:r>
            </w:hyperlink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Закон 44-ФЗ не содержит  порядка обоснования  НМЦК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УФАС по Мурманской области вынесло решение о наличии нарушений при проведении Прокуратурой Мурманской области аукциона на покупку квартиры, в связи с проведением обоснования НМЦК без применения Методики Минэкономразвития. Прокуратура Мурманской области обратилась в арбитражный суд с заявлением о признании недействительным указанного решения. В обоснование заявленных требований Прокуратура указала, что порядок 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применения методов определения начальной цены контракта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в Методике Минэкономразвития носит рекомендательный характер.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Суд установил, что заказчиком в качестве обоснования начальной (максимальной) цены контракта использован метод сопоставимых рыночных цен (анализ рынка)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огласно части 2 статьи 22 Закона № 44-ФЗ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br/>
              <w:t xml:space="preserve">Заказчиком в документации указано, что обоснованием максимальной цены контракта является информация о ценах на недвижимость в городе Мурманске, содержащаяся в справках агентств недвижимости о рыночной стоимости двухкомнатных квартир, соответствующих условиям аукционной документации. Для формирования начальной (максимальной) цены 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использована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минимальная из предложенных цен.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Суд пришел к выводу, что аукционная документация содержала обоснование начальной цены контракта и соответствовала в указанной части положениям пункта 1 части 1 статьи 64 Закона № 44-ФЗ. Ссылки ответчика на нарушение Прокуратурой положений пункта 3.7 Приказа Минэкономразвития России от 02.10.2013 № 567 "Об утверждении Методических рекомендаций 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судом не приняты. </w:t>
            </w: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Закон № 44-ФЗ определенного порядка по установлению и обоснованию начальной (максимальной) цены контракта), количеству направленных запросов и сопоставимых рыночных цен по не содержит.</w:t>
            </w:r>
            <w:proofErr w:type="gramEnd"/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Иск удовлетворен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F4371" w:rsidRPr="003F4371" w:rsidTr="003F4371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Дело № А03-12658/2014 от 18.09.2014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Арбитражный суд Алтайского края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3F4371">
                <w:rPr>
                  <w:rFonts w:ascii="Tahoma" w:hAnsi="Tahoma" w:cs="Tahoma"/>
                  <w:color w:val="4D6D91"/>
                  <w:sz w:val="21"/>
                  <w:szCs w:val="21"/>
                  <w:u w:val="single"/>
                  <w:lang w:eastAsia="ru-RU"/>
                </w:rPr>
                <w:t>http://kad.arbitr.ru/Card/cf4e1e2b-2b30-4af3-acb8-339862fe8e49</w:t>
              </w:r>
            </w:hyperlink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Использование Методики подтверждает законность обоснования НМЦК проектно-сметным методом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 арбитражном процессе по иску участника электронного аукциона на проведение ремонта объектов теплового хозяйства Заказчик доказал, что обоснование НМЦК проектно-сметным методом выполнено надлежащим образом.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Основанием для определения наименьшей (максимальной) цены на строительство, реконструкцию, капитальный ремонт объекта капитального строительства,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(часть 6.1 раздела VI Приказа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(подрядчиком</w:t>
            </w:r>
            <w:proofErr w:type="gramEnd"/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исполнителем)».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br/>
              <w:t>В разделе IV Техническое задание конкурсной документации определен перечень объектов подлежащих ремонту, а в разделе «Документы» размещены локальные сметы, обосновывающие начальную (максимальную) цену контракта и определяющие объем подлежащих выполнению работ.</w:t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br/>
              <w:t>Исследовав техническое задание и локальные сметы, суд пришел к выводу об идентичности тепловых объектов в указанных документах, а доводы истца о невозможности использования для обоснования начальной (максимальной) цены контракта локальных смет безосновательными.</w:t>
            </w:r>
          </w:p>
          <w:p w:rsidR="003F4371" w:rsidRPr="003F4371" w:rsidRDefault="003F4371" w:rsidP="003F4371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F4371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 иске отказано.</w:t>
            </w:r>
          </w:p>
        </w:tc>
      </w:tr>
    </w:tbl>
    <w:p w:rsidR="00724F07" w:rsidRDefault="00724F07"/>
    <w:sectPr w:rsidR="00724F07" w:rsidSect="003F43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71"/>
    <w:rsid w:val="003F4371"/>
    <w:rsid w:val="00614D98"/>
    <w:rsid w:val="00724F07"/>
    <w:rsid w:val="00973D9D"/>
    <w:rsid w:val="00DF71A7"/>
    <w:rsid w:val="00E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F"/>
    <w:pPr>
      <w:suppressAutoHyphens/>
    </w:pPr>
    <w:rPr>
      <w:lang w:eastAsia="ar-SA"/>
    </w:rPr>
  </w:style>
  <w:style w:type="paragraph" w:styleId="1">
    <w:name w:val="heading 1"/>
    <w:aliases w:val="Заголовок"/>
    <w:basedOn w:val="a"/>
    <w:next w:val="a"/>
    <w:link w:val="10"/>
    <w:qFormat/>
    <w:rsid w:val="00E87F8F"/>
    <w:pPr>
      <w:keepNext/>
      <w:spacing w:line="200" w:lineRule="exact"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link w:val="20"/>
    <w:qFormat/>
    <w:rsid w:val="00E87F8F"/>
    <w:pPr>
      <w:keepNext/>
      <w:spacing w:line="160" w:lineRule="exact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rsid w:val="00DF71A7"/>
    <w:rPr>
      <w:rFonts w:ascii="Arial" w:hAnsi="Arial" w:cs="Arial"/>
      <w:b/>
      <w:sz w:val="18"/>
      <w:lang w:eastAsia="ar-SA"/>
    </w:rPr>
  </w:style>
  <w:style w:type="character" w:customStyle="1" w:styleId="20">
    <w:name w:val="Заголовок 2 Знак"/>
    <w:basedOn w:val="a0"/>
    <w:link w:val="2"/>
    <w:rsid w:val="00E87F8F"/>
    <w:rPr>
      <w:b/>
      <w:lang w:eastAsia="ar-SA"/>
    </w:rPr>
  </w:style>
  <w:style w:type="paragraph" w:styleId="a3">
    <w:name w:val="Normal (Web)"/>
    <w:basedOn w:val="a"/>
    <w:uiPriority w:val="99"/>
    <w:unhideWhenUsed/>
    <w:rsid w:val="003F43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71"/>
    <w:rPr>
      <w:b/>
      <w:bCs/>
    </w:rPr>
  </w:style>
  <w:style w:type="character" w:customStyle="1" w:styleId="apple-converted-space">
    <w:name w:val="apple-converted-space"/>
    <w:basedOn w:val="a0"/>
    <w:rsid w:val="003F4371"/>
  </w:style>
  <w:style w:type="character" w:styleId="a5">
    <w:name w:val="Hyperlink"/>
    <w:basedOn w:val="a0"/>
    <w:uiPriority w:val="99"/>
    <w:semiHidden/>
    <w:unhideWhenUsed/>
    <w:rsid w:val="003F4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F"/>
    <w:pPr>
      <w:suppressAutoHyphens/>
    </w:pPr>
    <w:rPr>
      <w:lang w:eastAsia="ar-SA"/>
    </w:rPr>
  </w:style>
  <w:style w:type="paragraph" w:styleId="1">
    <w:name w:val="heading 1"/>
    <w:aliases w:val="Заголовок"/>
    <w:basedOn w:val="a"/>
    <w:next w:val="a"/>
    <w:link w:val="10"/>
    <w:qFormat/>
    <w:rsid w:val="00E87F8F"/>
    <w:pPr>
      <w:keepNext/>
      <w:spacing w:line="200" w:lineRule="exact"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link w:val="20"/>
    <w:qFormat/>
    <w:rsid w:val="00E87F8F"/>
    <w:pPr>
      <w:keepNext/>
      <w:spacing w:line="160" w:lineRule="exact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rsid w:val="00DF71A7"/>
    <w:rPr>
      <w:rFonts w:ascii="Arial" w:hAnsi="Arial" w:cs="Arial"/>
      <w:b/>
      <w:sz w:val="18"/>
      <w:lang w:eastAsia="ar-SA"/>
    </w:rPr>
  </w:style>
  <w:style w:type="character" w:customStyle="1" w:styleId="20">
    <w:name w:val="Заголовок 2 Знак"/>
    <w:basedOn w:val="a0"/>
    <w:link w:val="2"/>
    <w:rsid w:val="00E87F8F"/>
    <w:rPr>
      <w:b/>
      <w:lang w:eastAsia="ar-SA"/>
    </w:rPr>
  </w:style>
  <w:style w:type="paragraph" w:styleId="a3">
    <w:name w:val="Normal (Web)"/>
    <w:basedOn w:val="a"/>
    <w:uiPriority w:val="99"/>
    <w:unhideWhenUsed/>
    <w:rsid w:val="003F43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71"/>
    <w:rPr>
      <w:b/>
      <w:bCs/>
    </w:rPr>
  </w:style>
  <w:style w:type="character" w:customStyle="1" w:styleId="apple-converted-space">
    <w:name w:val="apple-converted-space"/>
    <w:basedOn w:val="a0"/>
    <w:rsid w:val="003F4371"/>
  </w:style>
  <w:style w:type="character" w:styleId="a5">
    <w:name w:val="Hyperlink"/>
    <w:basedOn w:val="a0"/>
    <w:uiPriority w:val="99"/>
    <w:semiHidden/>
    <w:unhideWhenUsed/>
    <w:rsid w:val="003F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ibirsk.fas.gov.ru/solution/161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ri-el.fas.gov.ru/solution/138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azan.fas.gov.ru/solution/8330" TargetMode="External"/><Relationship Id="rId11" Type="http://schemas.openxmlformats.org/officeDocument/2006/relationships/hyperlink" Target="http://kad.arbitr.ru/Card/cf4e1e2b-2b30-4af3-acb8-339862fe8e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d.arbitr.ru/Card/00668cc3-993b-4bd1-aa28-d8877548f9c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.arbitr.ru/Card/5bde68d3-fa3f-4fc3-861c-973997d07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2014-10-08T07:05:00Z</dcterms:created>
  <dcterms:modified xsi:type="dcterms:W3CDTF">2014-10-08T07:06:00Z</dcterms:modified>
</cp:coreProperties>
</file>